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CD" w:rsidRDefault="00524965" w:rsidP="00B10BCD">
      <w:r>
        <w:t>`</w:t>
      </w:r>
    </w:p>
    <w:p w:rsidR="00B10BCD" w:rsidRDefault="00B10BCD" w:rsidP="00B10BCD"/>
    <w:p w:rsidR="00B10BCD" w:rsidRDefault="00ED492D" w:rsidP="00B10BC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5" o:spid="_x0000_s1082" type="#_x0000_t75" alt="big_logo_new" style="position:absolute;margin-left:542.1pt;margin-top:3.45pt;width:188.5pt;height:79.15pt;z-index:251657216;visibility:visible">
            <v:imagedata r:id="rId9" o:title="big_logo_new"/>
          </v:shape>
        </w:pict>
      </w:r>
    </w:p>
    <w:p w:rsidR="00B10BCD" w:rsidRDefault="00B10BCD" w:rsidP="003D09AA">
      <w:pPr>
        <w:pStyle w:val="rps"/>
      </w:pPr>
    </w:p>
    <w:p w:rsidR="00B10BCD" w:rsidRPr="00536025" w:rsidRDefault="00B10BCD" w:rsidP="003D09AA">
      <w:pPr>
        <w:pStyle w:val="rps"/>
      </w:pPr>
      <w:r w:rsidRPr="007867D1">
        <w:t>Radiation Protection</w:t>
      </w:r>
      <w:r>
        <w:t xml:space="preserve"> </w:t>
      </w:r>
      <w:r w:rsidRPr="007867D1">
        <w:t>Service</w:t>
      </w:r>
    </w:p>
    <w:p w:rsidR="00B10BCD" w:rsidRDefault="00D37EAD" w:rsidP="003D09AA">
      <w:pPr>
        <w:pStyle w:val="sas"/>
        <w:rPr>
          <w:sz w:val="24"/>
          <w:szCs w:val="24"/>
        </w:rPr>
      </w:pPr>
      <w:r>
        <w:rPr>
          <w:sz w:val="24"/>
          <w:szCs w:val="24"/>
        </w:rPr>
        <w:t>Department of Wellbeing, Safety and Health</w:t>
      </w:r>
    </w:p>
    <w:p w:rsidR="00B10BCD" w:rsidRDefault="00ED492D" w:rsidP="003D09AA">
      <w:pPr>
        <w:pStyle w:val="Heading1"/>
      </w:pPr>
      <w:r>
        <w:rPr>
          <w:noProof/>
          <w:lang w:eastAsia="en-GB"/>
        </w:rPr>
        <w:pict>
          <v:line id="_x0000_s1080" style="position:absolute;z-index:251658240" from="0,1.35pt" to="729.3pt,1.35pt"/>
        </w:pict>
      </w:r>
    </w:p>
    <w:p w:rsidR="0026639D" w:rsidRDefault="005C338D" w:rsidP="003B76C4">
      <w:pPr>
        <w:pStyle w:val="Heading1"/>
      </w:pPr>
      <w:r>
        <w:t>Radiation</w:t>
      </w:r>
      <w:r w:rsidR="00F37981">
        <w:t xml:space="preserve"> Risk Assessment</w:t>
      </w:r>
      <w:r w:rsidR="009C173F">
        <w:t xml:space="preserve"> </w:t>
      </w:r>
      <w:r w:rsidR="006D5CC4">
        <w:t>20</w:t>
      </w:r>
      <w:r w:rsidR="0026639D">
        <w:t>:</w:t>
      </w:r>
    </w:p>
    <w:p w:rsidR="00D846E3" w:rsidRDefault="006D5CC4" w:rsidP="003B76C4">
      <w:pPr>
        <w:pStyle w:val="Heading1"/>
      </w:pPr>
      <w:r>
        <w:t>Exempt Sealed</w:t>
      </w:r>
      <w:r w:rsidR="00A7119F">
        <w:t xml:space="preserve"> Sources</w:t>
      </w:r>
    </w:p>
    <w:p w:rsidR="003B76C4" w:rsidRDefault="00E30BEA" w:rsidP="00F96474">
      <w:pPr>
        <w:pStyle w:val="Heading3"/>
        <w:numPr>
          <w:ilvl w:val="0"/>
          <w:numId w:val="35"/>
        </w:numPr>
        <w:tabs>
          <w:tab w:val="clear" w:pos="1418"/>
        </w:tabs>
        <w:ind w:left="284" w:hanging="284"/>
      </w:pPr>
      <w:r>
        <w:t>Scope and purpose</w:t>
      </w:r>
    </w:p>
    <w:p w:rsidR="002F076E" w:rsidRDefault="008151E2" w:rsidP="008151E2">
      <w:r>
        <w:t xml:space="preserve">This </w:t>
      </w:r>
      <w:r w:rsidR="00DE2F57">
        <w:t>radiation</w:t>
      </w:r>
      <w:r>
        <w:t xml:space="preserve"> risk assessment relates to the use </w:t>
      </w:r>
      <w:r w:rsidR="001653AA">
        <w:t xml:space="preserve">of </w:t>
      </w:r>
      <w:r w:rsidR="006D5CC4">
        <w:t xml:space="preserve">sealed </w:t>
      </w:r>
      <w:r w:rsidR="00273F6E">
        <w:t xml:space="preserve">sources </w:t>
      </w:r>
      <w:r w:rsidR="001653AA">
        <w:t>within the university at an exempt level (i.e. below the activity for exemption in Part 6 of Schedule 23 of the Environmental Permitting Regulations 2016</w:t>
      </w:r>
      <w:r w:rsidR="00E467C0">
        <w:t>)</w:t>
      </w:r>
      <w:r w:rsidR="002F076E">
        <w:t>.</w:t>
      </w:r>
    </w:p>
    <w:p w:rsidR="00AC02C5" w:rsidRDefault="00AC02C5" w:rsidP="008151E2">
      <w:r>
        <w:t xml:space="preserve">The purpose of this risk assessment is to assess the risks from exposure to ionising radiation in order to </w:t>
      </w:r>
      <w:r w:rsidRPr="00DE2F57">
        <w:t>identify the measures need</w:t>
      </w:r>
      <w:r>
        <w:t>ed</w:t>
      </w:r>
      <w:r w:rsidRPr="00DE2F57">
        <w:t xml:space="preserve"> to restrict the </w:t>
      </w:r>
      <w:r>
        <w:t xml:space="preserve">radiation </w:t>
      </w:r>
      <w:r w:rsidRPr="00DE2F57">
        <w:t>exposure of employee</w:t>
      </w:r>
      <w:r>
        <w:t>s</w:t>
      </w:r>
      <w:r w:rsidRPr="00DE2F57">
        <w:t xml:space="preserve"> or oth</w:t>
      </w:r>
      <w:r>
        <w:t xml:space="preserve">er persons and it </w:t>
      </w:r>
      <w:r w:rsidRPr="00DE2F57">
        <w:t xml:space="preserve">has been prepared in accordance with the guidance given in </w:t>
      </w:r>
      <w:proofErr w:type="spellStart"/>
      <w:r w:rsidRPr="00DE2F57">
        <w:t>ACoP</w:t>
      </w:r>
      <w:proofErr w:type="spellEnd"/>
      <w:r w:rsidRPr="00DE2F57">
        <w:t xml:space="preserve"> 8 to the Ionising Radiations Regulations 2017.</w:t>
      </w:r>
    </w:p>
    <w:p w:rsidR="00981E53" w:rsidRDefault="00981E53" w:rsidP="00ED492D">
      <w:r>
        <w:t xml:space="preserve">These types of sealed sources are used for a variety of practices </w:t>
      </w:r>
      <w:r w:rsidR="00ED492D">
        <w:t>including use in teaching or for instrument checking, calibration or part of an instrument’s detection system and may be installed in instrumentation or used as discrete sources.</w:t>
      </w:r>
    </w:p>
    <w:p w:rsidR="0026639D" w:rsidRDefault="0026639D" w:rsidP="0026639D">
      <w:pPr>
        <w:pStyle w:val="Heading3"/>
        <w:numPr>
          <w:ilvl w:val="0"/>
          <w:numId w:val="35"/>
        </w:numPr>
        <w:tabs>
          <w:tab w:val="clear" w:pos="1418"/>
        </w:tabs>
        <w:ind w:left="284" w:hanging="284"/>
      </w:pPr>
      <w:r>
        <w:t>Document control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93"/>
        <w:gridCol w:w="1701"/>
        <w:gridCol w:w="2268"/>
        <w:gridCol w:w="9639"/>
      </w:tblGrid>
      <w:tr w:rsidR="0026639D" w:rsidTr="00C81CA0">
        <w:tc>
          <w:tcPr>
            <w:tcW w:w="993" w:type="dxa"/>
            <w:shd w:val="clear" w:color="auto" w:fill="auto"/>
          </w:tcPr>
          <w:p w:rsidR="0026639D" w:rsidRPr="001A452F" w:rsidRDefault="0026639D" w:rsidP="00C81CA0">
            <w:pPr>
              <w:rPr>
                <w:u w:val="single"/>
              </w:rPr>
            </w:pPr>
            <w:r w:rsidRPr="001A452F">
              <w:rPr>
                <w:u w:val="single"/>
              </w:rPr>
              <w:t>Version</w:t>
            </w:r>
          </w:p>
          <w:p w:rsidR="0026639D" w:rsidRDefault="00AD74E0" w:rsidP="00C81CA0">
            <w:r>
              <w:t>2</w:t>
            </w:r>
            <w:r w:rsidR="0026639D">
              <w:t>.0</w:t>
            </w:r>
          </w:p>
        </w:tc>
        <w:tc>
          <w:tcPr>
            <w:tcW w:w="1701" w:type="dxa"/>
            <w:shd w:val="clear" w:color="auto" w:fill="auto"/>
          </w:tcPr>
          <w:p w:rsidR="0026639D" w:rsidRPr="00AF1C92" w:rsidRDefault="0026639D" w:rsidP="00C81CA0">
            <w:r w:rsidRPr="001A452F">
              <w:rPr>
                <w:u w:val="single"/>
              </w:rPr>
              <w:t>Author</w:t>
            </w:r>
          </w:p>
          <w:p w:rsidR="0026639D" w:rsidRPr="00AF1C92" w:rsidRDefault="0026639D" w:rsidP="00C81CA0">
            <w:r>
              <w:t>ARC</w:t>
            </w:r>
          </w:p>
        </w:tc>
        <w:tc>
          <w:tcPr>
            <w:tcW w:w="2268" w:type="dxa"/>
            <w:shd w:val="clear" w:color="auto" w:fill="auto"/>
          </w:tcPr>
          <w:p w:rsidR="0026639D" w:rsidRPr="001A452F" w:rsidRDefault="0026639D" w:rsidP="00C81CA0">
            <w:pPr>
              <w:rPr>
                <w:u w:val="single"/>
              </w:rPr>
            </w:pPr>
            <w:r w:rsidRPr="001A452F">
              <w:rPr>
                <w:u w:val="single"/>
              </w:rPr>
              <w:t>Date of issue</w:t>
            </w:r>
            <w:r>
              <w:rPr>
                <w:u w:val="single"/>
              </w:rPr>
              <w:t>/review</w:t>
            </w:r>
          </w:p>
          <w:p w:rsidR="0026639D" w:rsidRPr="00AF1C92" w:rsidRDefault="0026639D" w:rsidP="00C81CA0">
            <w:r>
              <w:t>9 February 2018</w:t>
            </w:r>
          </w:p>
        </w:tc>
        <w:tc>
          <w:tcPr>
            <w:tcW w:w="9639" w:type="dxa"/>
          </w:tcPr>
          <w:p w:rsidR="0026639D" w:rsidRDefault="0026639D" w:rsidP="00C81CA0">
            <w:pPr>
              <w:rPr>
                <w:u w:val="single"/>
              </w:rPr>
            </w:pPr>
            <w:r>
              <w:rPr>
                <w:u w:val="single"/>
              </w:rPr>
              <w:t>Comments</w:t>
            </w:r>
          </w:p>
          <w:p w:rsidR="0026639D" w:rsidRPr="001A452F" w:rsidRDefault="0026639D" w:rsidP="00C81CA0">
            <w:pPr>
              <w:rPr>
                <w:u w:val="single"/>
              </w:rPr>
            </w:pPr>
            <w:r>
              <w:t>Major update for IRR17</w:t>
            </w:r>
          </w:p>
        </w:tc>
      </w:tr>
    </w:tbl>
    <w:p w:rsidR="00105FD2" w:rsidRDefault="00AD74E0" w:rsidP="00F96474">
      <w:pPr>
        <w:pStyle w:val="Heading3"/>
        <w:numPr>
          <w:ilvl w:val="0"/>
          <w:numId w:val="35"/>
        </w:numPr>
        <w:tabs>
          <w:tab w:val="clear" w:pos="1418"/>
        </w:tabs>
        <w:ind w:left="284" w:hanging="284"/>
      </w:pPr>
      <w:r>
        <w:br w:type="page"/>
      </w:r>
      <w:r w:rsidR="00105FD2">
        <w:lastRenderedPageBreak/>
        <w:t>Nature of sources of ionising radiation</w:t>
      </w:r>
    </w:p>
    <w:p w:rsidR="00A40779" w:rsidRDefault="00E467C0" w:rsidP="00E467C0">
      <w:r>
        <w:t>A variety of radionuclides of exempt activity are used in the university.</w:t>
      </w:r>
    </w:p>
    <w:p w:rsidR="00E467C0" w:rsidRDefault="00661876" w:rsidP="00E467C0">
      <w:r>
        <w:t>These are defined as</w:t>
      </w:r>
      <w:r w:rsidR="00E467C0">
        <w:t xml:space="preserve"> sources that are covered by one of the following conditions:</w:t>
      </w:r>
    </w:p>
    <w:p w:rsidR="00E467C0" w:rsidRDefault="00E467C0" w:rsidP="00E467C0">
      <w:pPr>
        <w:ind w:left="720"/>
      </w:pPr>
      <w:r>
        <w:t>Small sealed source exemption: The activity of each source is less than 4MBq.</w:t>
      </w:r>
    </w:p>
    <w:p w:rsidR="00E467C0" w:rsidRDefault="00E467C0" w:rsidP="00E467C0">
      <w:pPr>
        <w:ind w:left="720"/>
      </w:pPr>
      <w:r>
        <w:t>Tritium sealed source exemption: The activity of each H-3 source is less than 20GBq.</w:t>
      </w:r>
    </w:p>
    <w:p w:rsidR="00E467C0" w:rsidRDefault="00E467C0" w:rsidP="00E467C0">
      <w:pPr>
        <w:ind w:left="720"/>
      </w:pPr>
      <w:r>
        <w:t>Electrodeposited source exemption: The activity of each Ni-63 source is less than 600MBq.</w:t>
      </w:r>
    </w:p>
    <w:p w:rsidR="00105FD2" w:rsidRDefault="00105FD2" w:rsidP="00F96474">
      <w:pPr>
        <w:pStyle w:val="Heading3"/>
        <w:numPr>
          <w:ilvl w:val="0"/>
          <w:numId w:val="35"/>
        </w:numPr>
        <w:tabs>
          <w:tab w:val="clear" w:pos="1418"/>
        </w:tabs>
        <w:ind w:left="284" w:hanging="284"/>
      </w:pPr>
      <w:r>
        <w:t>Dose assessment</w:t>
      </w:r>
      <w:r w:rsidR="00F96474">
        <w:t>S</w:t>
      </w:r>
    </w:p>
    <w:p w:rsidR="00BD39D2" w:rsidRPr="00BD39D2" w:rsidRDefault="00BD39D2" w:rsidP="000B518B">
      <w:pPr>
        <w:pStyle w:val="TableDataLeft"/>
        <w:spacing w:after="120"/>
        <w:rPr>
          <w:b/>
        </w:rPr>
      </w:pPr>
      <w:r w:rsidRPr="00BD39D2">
        <w:rPr>
          <w:b/>
        </w:rPr>
        <w:t>External exposure:</w:t>
      </w:r>
    </w:p>
    <w:p w:rsidR="007400FB" w:rsidRDefault="007A0922" w:rsidP="00105FD2">
      <w:pPr>
        <w:pStyle w:val="TableDataLeft"/>
        <w:keepNext w:val="0"/>
        <w:keepLines w:val="0"/>
      </w:pPr>
      <w:r>
        <w:t>Various beta and gamma emitters are used.</w:t>
      </w:r>
    </w:p>
    <w:p w:rsidR="007A0922" w:rsidRDefault="007A0922" w:rsidP="00105FD2">
      <w:pPr>
        <w:pStyle w:val="TableDataLeft"/>
        <w:keepNext w:val="0"/>
        <w:keepLines w:val="0"/>
      </w:pPr>
      <w:r>
        <w:t>The highest dose rates for a 4MBq source would be:</w:t>
      </w:r>
    </w:p>
    <w:p w:rsidR="007A0922" w:rsidRDefault="007A0922" w:rsidP="0032345F">
      <w:pPr>
        <w:pStyle w:val="TableDataLeft"/>
        <w:keepNext w:val="0"/>
        <w:keepLines w:val="0"/>
        <w:ind w:left="720"/>
      </w:pPr>
      <w:r>
        <w:t>137Cs, 0.8</w:t>
      </w:r>
      <w:r w:rsidR="00A73F4A">
        <w:t>6</w:t>
      </w:r>
      <w:r>
        <w:t>mSv/h beta@30cm (=7.</w:t>
      </w:r>
      <w:r w:rsidR="0032345F">
        <w:t>7</w:t>
      </w:r>
      <w:r>
        <w:t>mSv/h @ 10cm)</w:t>
      </w:r>
    </w:p>
    <w:p w:rsidR="00661876" w:rsidRDefault="007A0922" w:rsidP="0032345F">
      <w:pPr>
        <w:pStyle w:val="TableDataLeft"/>
        <w:keepNext w:val="0"/>
        <w:keepLines w:val="0"/>
        <w:ind w:left="720"/>
      </w:pPr>
      <w:r>
        <w:t xml:space="preserve">60Co, </w:t>
      </w:r>
      <w:r w:rsidR="00A73F4A">
        <w:t>66</w:t>
      </w:r>
      <w:r>
        <w:t xml:space="preserve">µSv/h </w:t>
      </w:r>
      <w:r w:rsidR="00A73F4A">
        <w:t>beta+</w:t>
      </w:r>
      <w:r>
        <w:t>gamma@30cm (=</w:t>
      </w:r>
      <w:r w:rsidR="0032345F">
        <w:t>600</w:t>
      </w:r>
      <w:r>
        <w:t>µSv/h @ 10cm)</w:t>
      </w:r>
    </w:p>
    <w:p w:rsidR="00CC49C9" w:rsidRDefault="00CC49C9" w:rsidP="00CC49C9">
      <w:pPr>
        <w:pStyle w:val="TableDataLeft"/>
        <w:keepNext w:val="0"/>
        <w:keepLines w:val="0"/>
        <w:ind w:left="720"/>
      </w:pPr>
      <w:r>
        <w:t>90Sr, 7.8Sv/h Contamination skin dose rate</w:t>
      </w:r>
    </w:p>
    <w:p w:rsidR="007400FB" w:rsidRPr="000B518B" w:rsidRDefault="00105FD2" w:rsidP="000B518B">
      <w:pPr>
        <w:pStyle w:val="TableDataLeft"/>
        <w:spacing w:after="120"/>
        <w:rPr>
          <w:b/>
        </w:rPr>
      </w:pPr>
      <w:r w:rsidRPr="007400FB">
        <w:rPr>
          <w:b/>
        </w:rPr>
        <w:t>Internal exposure:</w:t>
      </w:r>
    </w:p>
    <w:p w:rsidR="007400FB" w:rsidRDefault="007A0922" w:rsidP="007400FB">
      <w:pPr>
        <w:pStyle w:val="TableDataLeft"/>
        <w:keepNext w:val="0"/>
        <w:keepLines w:val="0"/>
      </w:pPr>
      <w:r>
        <w:t>The highest internal exposure from the radionuclides in use for the ingestion of 40kBq (1% of 4MBq) is:</w:t>
      </w:r>
    </w:p>
    <w:p w:rsidR="007A0922" w:rsidRDefault="007A0922" w:rsidP="007A0922">
      <w:pPr>
        <w:pStyle w:val="TableDataLeft"/>
        <w:keepNext w:val="0"/>
        <w:keepLines w:val="0"/>
        <w:ind w:left="720"/>
      </w:pPr>
      <w:r>
        <w:t>241Am, 8mSv Committed Effective Dose</w:t>
      </w:r>
    </w:p>
    <w:p w:rsidR="00171042" w:rsidRPr="00171042" w:rsidRDefault="00171042" w:rsidP="00171042">
      <w:pPr>
        <w:pStyle w:val="Heading3"/>
        <w:rPr>
          <w:i/>
        </w:rPr>
      </w:pPr>
      <w:r w:rsidRPr="00171042">
        <w:rPr>
          <w:i/>
        </w:rPr>
        <w:t>EXTERNAL DOSES</w:t>
      </w:r>
    </w:p>
    <w:p w:rsidR="00105FD2" w:rsidRPr="00DF5FA5" w:rsidRDefault="00171042" w:rsidP="000B518B">
      <w:pPr>
        <w:pStyle w:val="TableDataLeft"/>
        <w:spacing w:after="120"/>
        <w:rPr>
          <w:b/>
        </w:rPr>
      </w:pPr>
      <w:r w:rsidRPr="00171042">
        <w:rPr>
          <w:b/>
        </w:rPr>
        <w:t>Estimated radiation dose rates to which anyone can be exposed</w:t>
      </w:r>
      <w:r w:rsidR="00105FD2">
        <w:rPr>
          <w:b/>
        </w:rPr>
        <w:t>:</w:t>
      </w:r>
    </w:p>
    <w:p w:rsidR="00105FD2" w:rsidRPr="00171042" w:rsidRDefault="00105FD2" w:rsidP="00171042">
      <w:r w:rsidRPr="00171042">
        <w:t>Sources are shielded within the</w:t>
      </w:r>
      <w:r w:rsidR="00273F6E">
        <w:t>ir source containers</w:t>
      </w:r>
      <w:r w:rsidR="00ED492D">
        <w:t xml:space="preserve"> or when installed in </w:t>
      </w:r>
      <w:proofErr w:type="gramStart"/>
      <w:r w:rsidR="00ED492D">
        <w:t xml:space="preserve">instrumentation </w:t>
      </w:r>
      <w:r w:rsidR="00273F6E">
        <w:t xml:space="preserve"> </w:t>
      </w:r>
      <w:r w:rsidRPr="00171042">
        <w:t>and</w:t>
      </w:r>
      <w:proofErr w:type="gramEnd"/>
      <w:r w:rsidRPr="00171042">
        <w:t xml:space="preserve"> external doses are negligible</w:t>
      </w:r>
      <w:r w:rsidR="000A391A" w:rsidRPr="00171042">
        <w:t xml:space="preserve"> whilst handled correctly</w:t>
      </w:r>
      <w:r w:rsidR="007400FB">
        <w:t xml:space="preserve"> unopened</w:t>
      </w:r>
      <w:r w:rsidR="000A391A" w:rsidRPr="00171042">
        <w:t>.</w:t>
      </w:r>
    </w:p>
    <w:p w:rsidR="00362E9E" w:rsidRPr="00CC49C9" w:rsidRDefault="00CC49C9" w:rsidP="00A51CD1">
      <w:pPr>
        <w:keepNext/>
        <w:rPr>
          <w:b/>
        </w:rPr>
      </w:pPr>
      <w:r w:rsidRPr="00CC49C9">
        <w:rPr>
          <w:b/>
        </w:rPr>
        <w:lastRenderedPageBreak/>
        <w:t>Handling of sources</w:t>
      </w:r>
    </w:p>
    <w:p w:rsidR="00CC49C9" w:rsidRDefault="00CC49C9" w:rsidP="00F467E5">
      <w:r>
        <w:t>When sources are handled correctly using forceps or tongs the minimum distances from the source are: hands = 10cm and body = 30 cm.</w:t>
      </w:r>
    </w:p>
    <w:p w:rsidR="00CC49C9" w:rsidRDefault="00CC49C9" w:rsidP="00F467E5">
      <w:r>
        <w:t>If sources are handled for 5 minutes then maximum external doses for a 4MBq source are:</w:t>
      </w:r>
    </w:p>
    <w:p w:rsidR="00CC49C9" w:rsidRDefault="00CC49C9" w:rsidP="00CC49C9">
      <w:r>
        <w:tab/>
      </w:r>
      <w:r>
        <w:tab/>
      </w:r>
      <w:r>
        <w:tab/>
        <w:t>Extremity dose to hands: 640 µ</w:t>
      </w:r>
      <w:proofErr w:type="spellStart"/>
      <w:r>
        <w:t>Sv</w:t>
      </w:r>
      <w:proofErr w:type="spellEnd"/>
      <w:r>
        <w:t xml:space="preserve"> = 6.4 µ</w:t>
      </w:r>
      <w:proofErr w:type="spellStart"/>
      <w:r>
        <w:t>Sv</w:t>
      </w:r>
      <w:proofErr w:type="spellEnd"/>
      <w:r>
        <w:t xml:space="preserve"> effective dose</w:t>
      </w:r>
    </w:p>
    <w:p w:rsidR="00CC49C9" w:rsidRDefault="00CC49C9" w:rsidP="00CC49C9">
      <w:r>
        <w:tab/>
      </w:r>
      <w:r>
        <w:tab/>
      </w:r>
      <w:r>
        <w:tab/>
        <w:t>Whole body dose: 1.4 µ</w:t>
      </w:r>
      <w:proofErr w:type="spellStart"/>
      <w:r>
        <w:t>Sv</w:t>
      </w:r>
      <w:proofErr w:type="spellEnd"/>
    </w:p>
    <w:p w:rsidR="00CC49C9" w:rsidRDefault="00CC49C9" w:rsidP="00F467E5">
      <w:r>
        <w:t>All sources are below this activity and most are very much lower than this, so doses from normal handling of exempt sources are negligible.</w:t>
      </w:r>
    </w:p>
    <w:p w:rsidR="000B518B" w:rsidRPr="00F467E5" w:rsidRDefault="007A0922" w:rsidP="000B518B">
      <w:pPr>
        <w:pStyle w:val="TableDataLeft"/>
        <w:spacing w:after="120"/>
        <w:rPr>
          <w:b/>
        </w:rPr>
      </w:pPr>
      <w:r>
        <w:rPr>
          <w:b/>
        </w:rPr>
        <w:t>Sources</w:t>
      </w:r>
      <w:r w:rsidR="000B518B" w:rsidRPr="00F467E5">
        <w:rPr>
          <w:b/>
        </w:rPr>
        <w:t xml:space="preserve"> handled </w:t>
      </w:r>
      <w:r w:rsidR="000B518B">
        <w:rPr>
          <w:b/>
        </w:rPr>
        <w:t>incorrectly</w:t>
      </w:r>
      <w:r w:rsidR="000B518B" w:rsidRPr="00F467E5">
        <w:rPr>
          <w:b/>
        </w:rPr>
        <w:t>:</w:t>
      </w:r>
    </w:p>
    <w:p w:rsidR="000B518B" w:rsidRDefault="000B518B" w:rsidP="000B518B">
      <w:r>
        <w:t xml:space="preserve">If handled </w:t>
      </w:r>
      <w:r w:rsidR="00CC49C9">
        <w:t>without forceps or tongs doses to extremities could be</w:t>
      </w:r>
      <w:r>
        <w:t>:</w:t>
      </w:r>
    </w:p>
    <w:p w:rsidR="000B518B" w:rsidRDefault="00CC49C9" w:rsidP="000B518B">
      <w:pPr>
        <w:ind w:left="720"/>
      </w:pPr>
      <w:r>
        <w:t xml:space="preserve">7.8 </w:t>
      </w:r>
      <w:proofErr w:type="spellStart"/>
      <w:r>
        <w:t>Sv</w:t>
      </w:r>
      <w:proofErr w:type="spellEnd"/>
      <w:r>
        <w:t xml:space="preserve">/h = </w:t>
      </w:r>
      <w:r w:rsidR="00F647F9">
        <w:t xml:space="preserve">78 </w:t>
      </w:r>
      <w:proofErr w:type="spellStart"/>
      <w:r w:rsidR="00F647F9">
        <w:t>mSv</w:t>
      </w:r>
      <w:proofErr w:type="spellEnd"/>
      <w:r w:rsidR="00F647F9">
        <w:t>/h effective dose</w:t>
      </w:r>
    </w:p>
    <w:p w:rsidR="000B518B" w:rsidRDefault="000B518B" w:rsidP="000B518B">
      <w:pPr>
        <w:ind w:left="720"/>
      </w:pPr>
      <w:r>
        <w:t xml:space="preserve">…and </w:t>
      </w:r>
      <w:r w:rsidR="00A51CD1">
        <w:t xml:space="preserve">the </w:t>
      </w:r>
      <w:r>
        <w:t xml:space="preserve">extremity dose constraint of 10mSv will be exceeded in </w:t>
      </w:r>
      <w:r w:rsidR="00F647F9">
        <w:t>7</w:t>
      </w:r>
      <w:r>
        <w:t xml:space="preserve"> minutes.</w:t>
      </w:r>
    </w:p>
    <w:p w:rsidR="00171042" w:rsidRPr="00171042" w:rsidRDefault="00171042" w:rsidP="000C37A2">
      <w:pPr>
        <w:pStyle w:val="Heading3"/>
        <w:rPr>
          <w:i/>
        </w:rPr>
      </w:pPr>
      <w:r w:rsidRPr="00171042">
        <w:rPr>
          <w:i/>
        </w:rPr>
        <w:t>Internal Doses</w:t>
      </w:r>
    </w:p>
    <w:p w:rsidR="00171042" w:rsidRDefault="00171042" w:rsidP="000B518B">
      <w:pPr>
        <w:pStyle w:val="TableDataLeft"/>
        <w:spacing w:after="120"/>
        <w:rPr>
          <w:b/>
        </w:rPr>
      </w:pPr>
      <w:r w:rsidRPr="00171042">
        <w:rPr>
          <w:b/>
        </w:rPr>
        <w:t>Likelihood of contamination arising and being spread</w:t>
      </w:r>
    </w:p>
    <w:p w:rsidR="000B5C4F" w:rsidRDefault="000B5C4F" w:rsidP="00F467E5">
      <w:r>
        <w:t>The sources are sealed sources and the likelihood of the sources leaking contamination is low on account of storage</w:t>
      </w:r>
      <w:r w:rsidR="00ED492D">
        <w:t xml:space="preserve"> conditions and periodic checks:</w:t>
      </w:r>
    </w:p>
    <w:p w:rsidR="000B5C4F" w:rsidRDefault="000B5C4F" w:rsidP="00ED492D">
      <w:pPr>
        <w:ind w:left="720"/>
      </w:pPr>
      <w:r>
        <w:t xml:space="preserve">The sources are stored in the </w:t>
      </w:r>
      <w:r w:rsidR="00DE56FB">
        <w:t>source containers</w:t>
      </w:r>
      <w:r>
        <w:t xml:space="preserve"> under dry ventilated conditions.</w:t>
      </w:r>
    </w:p>
    <w:p w:rsidR="000B5C4F" w:rsidRDefault="000B5C4F" w:rsidP="00ED492D">
      <w:pPr>
        <w:ind w:left="720"/>
      </w:pPr>
      <w:r>
        <w:t xml:space="preserve">Statutory wipe tests and conditional checks are </w:t>
      </w:r>
      <w:r w:rsidR="00ED492D">
        <w:t>carried out annually and would</w:t>
      </w:r>
      <w:r>
        <w:t xml:space="preserve"> give prior indication of deterioration in the sources.</w:t>
      </w:r>
    </w:p>
    <w:p w:rsidR="00171042" w:rsidRDefault="00171042" w:rsidP="000B518B">
      <w:pPr>
        <w:pStyle w:val="TableDataLeft"/>
        <w:spacing w:after="120"/>
        <w:rPr>
          <w:b/>
        </w:rPr>
      </w:pPr>
      <w:r>
        <w:rPr>
          <w:b/>
        </w:rPr>
        <w:t>E</w:t>
      </w:r>
      <w:r w:rsidRPr="00171042">
        <w:rPr>
          <w:b/>
        </w:rPr>
        <w:t>stimated levels of airborne and surface contamination</w:t>
      </w:r>
    </w:p>
    <w:p w:rsidR="00171042" w:rsidRPr="00171042" w:rsidRDefault="00171042" w:rsidP="00171042">
      <w:r w:rsidRPr="00171042">
        <w:t>Airborne or surface contamination is highly unlikely in normal</w:t>
      </w:r>
      <w:r w:rsidR="008E4DC4">
        <w:t xml:space="preserve"> use</w:t>
      </w:r>
      <w:r w:rsidRPr="00171042">
        <w:t>.</w:t>
      </w:r>
    </w:p>
    <w:p w:rsidR="00171042" w:rsidRPr="000B5C4F" w:rsidRDefault="00171042" w:rsidP="000B518B">
      <w:pPr>
        <w:pStyle w:val="TableDataLeft"/>
        <w:spacing w:after="120"/>
        <w:rPr>
          <w:b/>
        </w:rPr>
      </w:pPr>
      <w:r w:rsidRPr="000B5C4F">
        <w:rPr>
          <w:b/>
        </w:rPr>
        <w:t>Estimated internal doses:</w:t>
      </w:r>
    </w:p>
    <w:p w:rsidR="00171042" w:rsidRPr="00171042" w:rsidRDefault="00171042" w:rsidP="00F467E5">
      <w:r w:rsidRPr="00171042">
        <w:t xml:space="preserve">Ingestion of 1% of </w:t>
      </w:r>
      <w:r w:rsidR="00A51CD1">
        <w:t>4</w:t>
      </w:r>
      <w:r w:rsidR="00AD74E0">
        <w:t xml:space="preserve">MBq </w:t>
      </w:r>
      <w:r w:rsidR="00A51CD1">
        <w:t>Am-241</w:t>
      </w:r>
      <w:r w:rsidRPr="00171042">
        <w:t xml:space="preserve"> would result in an internal dose of </w:t>
      </w:r>
      <w:r w:rsidR="00A51CD1">
        <w:t>8</w:t>
      </w:r>
      <w:r w:rsidRPr="00171042">
        <w:t>mSv</w:t>
      </w:r>
      <w:r w:rsidR="00AD74E0">
        <w:t>.</w:t>
      </w:r>
    </w:p>
    <w:p w:rsidR="00F96474" w:rsidRDefault="00F96474" w:rsidP="00F96474">
      <w:pPr>
        <w:pStyle w:val="Heading3"/>
        <w:numPr>
          <w:ilvl w:val="0"/>
          <w:numId w:val="35"/>
        </w:numPr>
        <w:tabs>
          <w:tab w:val="clear" w:pos="1418"/>
        </w:tabs>
        <w:ind w:left="284" w:hanging="284"/>
      </w:pPr>
      <w:r>
        <w:lastRenderedPageBreak/>
        <w:t>Dosimetry</w:t>
      </w:r>
    </w:p>
    <w:p w:rsidR="00A51CD1" w:rsidRDefault="00A51CD1" w:rsidP="00A51CD1">
      <w:r>
        <w:t>The use of dosimetry is not appropriate for these activities as radiation levels would not be detected by dose meters.</w:t>
      </w:r>
    </w:p>
    <w:p w:rsidR="00F96474" w:rsidRDefault="00F96474" w:rsidP="00F96474">
      <w:pPr>
        <w:pStyle w:val="Heading3"/>
        <w:numPr>
          <w:ilvl w:val="0"/>
          <w:numId w:val="35"/>
        </w:numPr>
        <w:tabs>
          <w:tab w:val="clear" w:pos="1418"/>
        </w:tabs>
        <w:ind w:left="284" w:hanging="284"/>
      </w:pPr>
      <w:r>
        <w:t>Manufacturer’s advice</w:t>
      </w:r>
    </w:p>
    <w:p w:rsidR="00F96474" w:rsidRDefault="00A9024C" w:rsidP="00F96474">
      <w:r>
        <w:t>Manufacturer’s instructions for installed instrument sources</w:t>
      </w:r>
      <w:r w:rsidR="00F96474">
        <w:t>.</w:t>
      </w:r>
    </w:p>
    <w:p w:rsidR="00F96474" w:rsidRDefault="00F96474" w:rsidP="00F96474">
      <w:pPr>
        <w:pStyle w:val="Heading3"/>
        <w:numPr>
          <w:ilvl w:val="0"/>
          <w:numId w:val="35"/>
        </w:numPr>
        <w:tabs>
          <w:tab w:val="clear" w:pos="1418"/>
        </w:tabs>
        <w:ind w:left="284" w:hanging="284"/>
      </w:pPr>
      <w:r>
        <w:t>Engineering control measures and design features</w:t>
      </w:r>
    </w:p>
    <w:p w:rsidR="0087463C" w:rsidRDefault="0087463C" w:rsidP="00F96474">
      <w:r>
        <w:t>Sources are stored in appropriate storage containers</w:t>
      </w:r>
      <w:r w:rsidR="00A9024C">
        <w:t xml:space="preserve"> that have suitable shielding where necessary.</w:t>
      </w:r>
    </w:p>
    <w:p w:rsidR="0087463C" w:rsidRDefault="00A9024C" w:rsidP="00F96474">
      <w:r>
        <w:t>Sources installed in instruments are correctly and securely fitted in line with manufacturer’s instructions.</w:t>
      </w:r>
    </w:p>
    <w:p w:rsidR="00F96474" w:rsidRDefault="00F96474" w:rsidP="00F96474">
      <w:pPr>
        <w:pStyle w:val="Heading3"/>
        <w:numPr>
          <w:ilvl w:val="0"/>
          <w:numId w:val="35"/>
        </w:numPr>
        <w:tabs>
          <w:tab w:val="clear" w:pos="1418"/>
        </w:tabs>
        <w:ind w:left="284" w:hanging="284"/>
      </w:pPr>
      <w:r>
        <w:t>Planned systems of work</w:t>
      </w:r>
    </w:p>
    <w:p w:rsidR="00F96474" w:rsidRDefault="00F96474" w:rsidP="00F96474">
      <w:r>
        <w:t xml:space="preserve">Work will be carried out under the </w:t>
      </w:r>
      <w:r w:rsidR="00893B92">
        <w:t xml:space="preserve">RPS local rules and </w:t>
      </w:r>
      <w:r w:rsidR="00AD74E0">
        <w:t>the</w:t>
      </w:r>
      <w:r>
        <w:t xml:space="preserve"> </w:t>
      </w:r>
      <w:r w:rsidR="00AD74E0">
        <w:t xml:space="preserve">Standard Operating Procedures ‘SOP </w:t>
      </w:r>
      <w:r w:rsidR="00A51CD1">
        <w:t>Handling exempt sealed sources’</w:t>
      </w:r>
      <w:r>
        <w:t>.</w:t>
      </w:r>
    </w:p>
    <w:p w:rsidR="00BA22B9" w:rsidRDefault="00BA22B9" w:rsidP="00F96474">
      <w:r>
        <w:t xml:space="preserve">The </w:t>
      </w:r>
      <w:r w:rsidR="00893B92">
        <w:t xml:space="preserve">Local Rules and </w:t>
      </w:r>
      <w:r>
        <w:t>SOP includes:</w:t>
      </w:r>
    </w:p>
    <w:p w:rsidR="00BA22B9" w:rsidRDefault="00BA22B9" w:rsidP="00F96474">
      <w:r>
        <w:tab/>
        <w:t>Requirements for supervision, competency and training.</w:t>
      </w:r>
    </w:p>
    <w:p w:rsidR="00BA22B9" w:rsidRDefault="00BA22B9" w:rsidP="00F96474">
      <w:r>
        <w:tab/>
        <w:t>Requirements for source management, security and containment.</w:t>
      </w:r>
    </w:p>
    <w:p w:rsidR="00BA22B9" w:rsidRDefault="00BA22B9" w:rsidP="00F96474">
      <w:r>
        <w:tab/>
        <w:t>Instructions for handling the source</w:t>
      </w:r>
      <w:r w:rsidR="00893B92">
        <w:t>s</w:t>
      </w:r>
      <w:r>
        <w:t>.</w:t>
      </w:r>
    </w:p>
    <w:p w:rsidR="00BA22B9" w:rsidRDefault="00BA22B9" w:rsidP="00F96474">
      <w:r>
        <w:tab/>
        <w:t>Instructions for controlling exposures.</w:t>
      </w:r>
    </w:p>
    <w:p w:rsidR="00BA22B9" w:rsidRDefault="00BA22B9" w:rsidP="00F96474">
      <w:r>
        <w:tab/>
      </w:r>
      <w:r w:rsidR="00893B92">
        <w:t>Accident procedures</w:t>
      </w:r>
      <w:r>
        <w:t>.</w:t>
      </w:r>
    </w:p>
    <w:p w:rsidR="00F96474" w:rsidRDefault="009A0311" w:rsidP="009A0311">
      <w:pPr>
        <w:pStyle w:val="Heading3"/>
        <w:numPr>
          <w:ilvl w:val="0"/>
          <w:numId w:val="35"/>
        </w:numPr>
        <w:tabs>
          <w:tab w:val="clear" w:pos="1418"/>
        </w:tabs>
        <w:ind w:left="284" w:hanging="284"/>
      </w:pPr>
      <w:r>
        <w:t>PPE</w:t>
      </w:r>
    </w:p>
    <w:p w:rsidR="009A0311" w:rsidRDefault="009A0311" w:rsidP="009A0311">
      <w:r>
        <w:t>No additional PPE is required for this work as the radioactivity is contained in sealed sources and no direct handling of the sources is involved.</w:t>
      </w:r>
    </w:p>
    <w:p w:rsidR="009A0311" w:rsidRDefault="009A0311" w:rsidP="009A0311">
      <w:pPr>
        <w:pStyle w:val="Heading3"/>
        <w:numPr>
          <w:ilvl w:val="0"/>
          <w:numId w:val="35"/>
        </w:numPr>
        <w:tabs>
          <w:tab w:val="clear" w:pos="1418"/>
        </w:tabs>
        <w:ind w:left="284" w:hanging="284"/>
      </w:pPr>
      <w:r>
        <w:lastRenderedPageBreak/>
        <w:t xml:space="preserve">access to areas where there are </w:t>
      </w:r>
      <w:r w:rsidR="00BA22B9">
        <w:t xml:space="preserve">significant </w:t>
      </w:r>
      <w:r>
        <w:t>dose rates or contamination levels</w:t>
      </w:r>
    </w:p>
    <w:p w:rsidR="00BA22B9" w:rsidRPr="00BA22B9" w:rsidRDefault="00BA22B9" w:rsidP="00BA22B9">
      <w:r w:rsidRPr="00E46450">
        <w:t xml:space="preserve">Access to source </w:t>
      </w:r>
      <w:r>
        <w:t>storage locations is restricted to authorised staff only.</w:t>
      </w:r>
    </w:p>
    <w:p w:rsidR="00893B92" w:rsidRDefault="00BA22B9" w:rsidP="00BA22B9">
      <w:r>
        <w:t xml:space="preserve">Sources are used and handled </w:t>
      </w:r>
      <w:r w:rsidR="00893B92">
        <w:t>in accordance with SOPs.</w:t>
      </w:r>
      <w:bookmarkStart w:id="0" w:name="_GoBack"/>
      <w:bookmarkEnd w:id="0"/>
    </w:p>
    <w:p w:rsidR="00B33009" w:rsidRPr="008151E2" w:rsidRDefault="000C37A2" w:rsidP="0026639D">
      <w:pPr>
        <w:pStyle w:val="Heading3"/>
        <w:numPr>
          <w:ilvl w:val="0"/>
          <w:numId w:val="35"/>
        </w:numPr>
        <w:tabs>
          <w:tab w:val="clear" w:pos="1418"/>
        </w:tabs>
        <w:ind w:left="284" w:hanging="284"/>
      </w:pPr>
      <w:r>
        <w:br w:type="page"/>
      </w:r>
      <w:r>
        <w:lastRenderedPageBreak/>
        <w:t xml:space="preserve">Risk </w:t>
      </w:r>
      <w:r w:rsidR="008D3FBD">
        <w:t>evaluation</w:t>
      </w:r>
      <w:r w:rsidR="00C4477D">
        <w:t xml:space="preserve"> and controls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4092"/>
        <w:gridCol w:w="4092"/>
        <w:gridCol w:w="1316"/>
        <w:gridCol w:w="1134"/>
        <w:gridCol w:w="1072"/>
      </w:tblGrid>
      <w:tr w:rsidR="000C37A2" w:rsidTr="00EA6C82">
        <w:tc>
          <w:tcPr>
            <w:tcW w:w="2974" w:type="dxa"/>
            <w:vMerge w:val="restart"/>
          </w:tcPr>
          <w:p w:rsidR="000C37A2" w:rsidRDefault="000C37A2" w:rsidP="00F266A0">
            <w:pPr>
              <w:pStyle w:val="TableColTitleLeft"/>
            </w:pPr>
          </w:p>
        </w:tc>
        <w:tc>
          <w:tcPr>
            <w:tcW w:w="4092" w:type="dxa"/>
            <w:vMerge w:val="restart"/>
          </w:tcPr>
          <w:p w:rsidR="000C37A2" w:rsidRDefault="000C37A2" w:rsidP="000C37A2">
            <w:pPr>
              <w:pStyle w:val="TableColTitleLeft"/>
            </w:pPr>
            <w:r>
              <w:t>Risk evaluation</w:t>
            </w:r>
          </w:p>
        </w:tc>
        <w:tc>
          <w:tcPr>
            <w:tcW w:w="4092" w:type="dxa"/>
            <w:vMerge w:val="restart"/>
          </w:tcPr>
          <w:p w:rsidR="000C37A2" w:rsidRDefault="000C37A2" w:rsidP="000C37A2">
            <w:pPr>
              <w:pStyle w:val="TableColTitleLeft"/>
            </w:pPr>
            <w:r>
              <w:t>Control measures</w:t>
            </w:r>
          </w:p>
        </w:tc>
        <w:tc>
          <w:tcPr>
            <w:tcW w:w="3522" w:type="dxa"/>
            <w:gridSpan w:val="3"/>
          </w:tcPr>
          <w:p w:rsidR="000C37A2" w:rsidRDefault="000C37A2" w:rsidP="00F266A0">
            <w:pPr>
              <w:pStyle w:val="TableColTitleLeft"/>
            </w:pPr>
            <w:r>
              <w:t>Residual risk after controls</w:t>
            </w:r>
          </w:p>
        </w:tc>
      </w:tr>
      <w:tr w:rsidR="000C37A2" w:rsidTr="00EA6C82">
        <w:tc>
          <w:tcPr>
            <w:tcW w:w="2974" w:type="dxa"/>
            <w:vMerge/>
          </w:tcPr>
          <w:p w:rsidR="000C37A2" w:rsidRDefault="000C37A2" w:rsidP="00605EF6">
            <w:pPr>
              <w:pStyle w:val="TableColTitleLeft"/>
            </w:pPr>
          </w:p>
        </w:tc>
        <w:tc>
          <w:tcPr>
            <w:tcW w:w="4092" w:type="dxa"/>
            <w:vMerge/>
          </w:tcPr>
          <w:p w:rsidR="000C37A2" w:rsidRDefault="000C37A2" w:rsidP="00605EF6">
            <w:pPr>
              <w:pStyle w:val="TableColTitleLeft"/>
            </w:pPr>
          </w:p>
        </w:tc>
        <w:tc>
          <w:tcPr>
            <w:tcW w:w="4092" w:type="dxa"/>
            <w:vMerge/>
          </w:tcPr>
          <w:p w:rsidR="000C37A2" w:rsidRDefault="000C37A2" w:rsidP="00605EF6">
            <w:pPr>
              <w:pStyle w:val="TableColTitleLeft"/>
            </w:pPr>
          </w:p>
        </w:tc>
        <w:tc>
          <w:tcPr>
            <w:tcW w:w="1316" w:type="dxa"/>
          </w:tcPr>
          <w:p w:rsidR="000C37A2" w:rsidRDefault="000C37A2" w:rsidP="00605EF6">
            <w:pPr>
              <w:pStyle w:val="TableColTitleLeft"/>
            </w:pPr>
            <w:r>
              <w:t>Likelihood</w:t>
            </w:r>
          </w:p>
        </w:tc>
        <w:tc>
          <w:tcPr>
            <w:tcW w:w="1134" w:type="dxa"/>
          </w:tcPr>
          <w:p w:rsidR="000C37A2" w:rsidRDefault="000C37A2" w:rsidP="00605EF6">
            <w:pPr>
              <w:pStyle w:val="TableColTitleLeft"/>
            </w:pPr>
            <w:r>
              <w:t>Severity</w:t>
            </w:r>
          </w:p>
        </w:tc>
        <w:tc>
          <w:tcPr>
            <w:tcW w:w="1072" w:type="dxa"/>
          </w:tcPr>
          <w:p w:rsidR="000C37A2" w:rsidRDefault="000C37A2" w:rsidP="00605EF6">
            <w:pPr>
              <w:pStyle w:val="TableColTitleLeft"/>
            </w:pPr>
            <w:r>
              <w:t>Risk</w:t>
            </w:r>
          </w:p>
        </w:tc>
      </w:tr>
      <w:tr w:rsidR="000C37A2" w:rsidTr="00EA6C82">
        <w:tc>
          <w:tcPr>
            <w:tcW w:w="2974" w:type="dxa"/>
          </w:tcPr>
          <w:p w:rsidR="000C37A2" w:rsidRDefault="00171042" w:rsidP="00171042">
            <w:pPr>
              <w:pStyle w:val="TableColTitleLeft"/>
            </w:pPr>
            <w:r>
              <w:t>R</w:t>
            </w:r>
            <w:r w:rsidR="000C37A2">
              <w:t xml:space="preserve">adiation </w:t>
            </w:r>
            <w:r>
              <w:t>exposure during normal use</w:t>
            </w:r>
          </w:p>
        </w:tc>
        <w:tc>
          <w:tcPr>
            <w:tcW w:w="4092" w:type="dxa"/>
          </w:tcPr>
          <w:p w:rsidR="000C37A2" w:rsidRPr="008E4DC4" w:rsidRDefault="000C37A2" w:rsidP="000B518B">
            <w:pPr>
              <w:pStyle w:val="TableColTitleLeft"/>
              <w:rPr>
                <w:b w:val="0"/>
              </w:rPr>
            </w:pPr>
            <w:r w:rsidRPr="000C37A2">
              <w:rPr>
                <w:b w:val="0"/>
              </w:rPr>
              <w:t>Source</w:t>
            </w:r>
            <w:r w:rsidR="00CA7B03">
              <w:rPr>
                <w:b w:val="0"/>
              </w:rPr>
              <w:t>s</w:t>
            </w:r>
            <w:r w:rsidRPr="000C37A2">
              <w:rPr>
                <w:b w:val="0"/>
              </w:rPr>
              <w:t xml:space="preserve"> </w:t>
            </w:r>
            <w:r w:rsidR="00CA7B03">
              <w:rPr>
                <w:b w:val="0"/>
              </w:rPr>
              <w:t>are</w:t>
            </w:r>
            <w:r w:rsidRPr="000C37A2">
              <w:rPr>
                <w:b w:val="0"/>
              </w:rPr>
              <w:t xml:space="preserve"> shielded within the </w:t>
            </w:r>
            <w:r w:rsidR="000B518B">
              <w:rPr>
                <w:b w:val="0"/>
              </w:rPr>
              <w:t>containers</w:t>
            </w:r>
            <w:r w:rsidRPr="000C37A2">
              <w:rPr>
                <w:b w:val="0"/>
              </w:rPr>
              <w:t xml:space="preserve"> and external doses are negligible whilst the </w:t>
            </w:r>
            <w:r w:rsidR="000B518B">
              <w:rPr>
                <w:b w:val="0"/>
              </w:rPr>
              <w:t>sources</w:t>
            </w:r>
            <w:r w:rsidRPr="000C37A2">
              <w:rPr>
                <w:b w:val="0"/>
              </w:rPr>
              <w:t xml:space="preserve"> are handled correctly.</w:t>
            </w:r>
          </w:p>
        </w:tc>
        <w:tc>
          <w:tcPr>
            <w:tcW w:w="4092" w:type="dxa"/>
          </w:tcPr>
          <w:p w:rsidR="000C37A2" w:rsidRDefault="002C35FE" w:rsidP="00CA7B03">
            <w:pPr>
              <w:pStyle w:val="TableDataLeft"/>
            </w:pPr>
            <w:r>
              <w:t>I</w:t>
            </w:r>
            <w:r w:rsidR="000A391A">
              <w:t xml:space="preserve">nstructions contained in </w:t>
            </w:r>
            <w:r w:rsidR="00CA7B03">
              <w:t xml:space="preserve">local rules and </w:t>
            </w:r>
            <w:r w:rsidR="000A391A">
              <w:t>SOP</w:t>
            </w:r>
            <w:r w:rsidR="000C37A2">
              <w:t>.</w:t>
            </w:r>
          </w:p>
        </w:tc>
        <w:tc>
          <w:tcPr>
            <w:tcW w:w="1316" w:type="dxa"/>
            <w:vAlign w:val="center"/>
          </w:tcPr>
          <w:p w:rsidR="000C37A2" w:rsidRDefault="000C37A2" w:rsidP="002F076E">
            <w:pPr>
              <w:pStyle w:val="TableColTitleLeft"/>
              <w:jc w:val="center"/>
            </w:pPr>
            <w:r>
              <w:t>Low</w:t>
            </w:r>
          </w:p>
        </w:tc>
        <w:tc>
          <w:tcPr>
            <w:tcW w:w="1134" w:type="dxa"/>
            <w:vAlign w:val="center"/>
          </w:tcPr>
          <w:p w:rsidR="000C37A2" w:rsidRDefault="000C37A2" w:rsidP="002F076E">
            <w:pPr>
              <w:pStyle w:val="TableColTitleLeft"/>
              <w:jc w:val="center"/>
            </w:pPr>
            <w:r>
              <w:t>Low</w:t>
            </w:r>
          </w:p>
        </w:tc>
        <w:tc>
          <w:tcPr>
            <w:tcW w:w="1072" w:type="dxa"/>
            <w:vAlign w:val="center"/>
          </w:tcPr>
          <w:p w:rsidR="000C37A2" w:rsidRDefault="000C37A2" w:rsidP="002F076E">
            <w:pPr>
              <w:pStyle w:val="TableColTitleLeft"/>
              <w:jc w:val="center"/>
            </w:pPr>
            <w:r>
              <w:t>Low</w:t>
            </w:r>
          </w:p>
        </w:tc>
      </w:tr>
      <w:tr w:rsidR="000C37A2" w:rsidTr="00EA6C82">
        <w:tc>
          <w:tcPr>
            <w:tcW w:w="2974" w:type="dxa"/>
          </w:tcPr>
          <w:p w:rsidR="000C37A2" w:rsidRDefault="00171042" w:rsidP="00171042">
            <w:pPr>
              <w:pStyle w:val="TableColTitleLeft"/>
            </w:pPr>
            <w:r>
              <w:t xml:space="preserve">Exposure to airborne or </w:t>
            </w:r>
            <w:r w:rsidR="00225922">
              <w:t>surface contamination</w:t>
            </w:r>
          </w:p>
        </w:tc>
        <w:tc>
          <w:tcPr>
            <w:tcW w:w="4092" w:type="dxa"/>
          </w:tcPr>
          <w:p w:rsidR="00F96474" w:rsidRPr="00171042" w:rsidRDefault="000C37A2" w:rsidP="00171042">
            <w:pPr>
              <w:pStyle w:val="TableColTitleLeft"/>
              <w:rPr>
                <w:b w:val="0"/>
              </w:rPr>
            </w:pPr>
            <w:r w:rsidRPr="00225922">
              <w:rPr>
                <w:b w:val="0"/>
              </w:rPr>
              <w:t>Likelihood of contamination arising and being spread is very low and in normal use airborne or surface contamination is highly unlikely.</w:t>
            </w:r>
          </w:p>
        </w:tc>
        <w:tc>
          <w:tcPr>
            <w:tcW w:w="4092" w:type="dxa"/>
          </w:tcPr>
          <w:p w:rsidR="000C37A2" w:rsidRDefault="002C35FE" w:rsidP="00605EF6">
            <w:pPr>
              <w:pStyle w:val="TableDataLeft"/>
            </w:pPr>
            <w:r>
              <w:t>Instructions contained in local rules and SOP</w:t>
            </w:r>
            <w:r w:rsidR="000C37A2" w:rsidRPr="00E00B24">
              <w:t>.</w:t>
            </w:r>
          </w:p>
          <w:p w:rsidR="00225922" w:rsidRDefault="00225922" w:rsidP="00225922">
            <w:pPr>
              <w:pStyle w:val="TableDataLeft"/>
            </w:pPr>
            <w:r>
              <w:t>Sources are inspected before and after use by the responsible person, and checked for damage.</w:t>
            </w:r>
          </w:p>
          <w:p w:rsidR="000C37A2" w:rsidRDefault="00225922" w:rsidP="00605EF6">
            <w:pPr>
              <w:pStyle w:val="TableDataLeft"/>
            </w:pPr>
            <w:r>
              <w:t>Sources are leak tested and checked annually by the Radiation Protection Service to ensure there is no leakage.</w:t>
            </w:r>
          </w:p>
        </w:tc>
        <w:tc>
          <w:tcPr>
            <w:tcW w:w="1316" w:type="dxa"/>
            <w:vAlign w:val="center"/>
          </w:tcPr>
          <w:p w:rsidR="000C37A2" w:rsidRDefault="000C37A2" w:rsidP="002F076E">
            <w:pPr>
              <w:pStyle w:val="TableColTitleLeft"/>
              <w:jc w:val="center"/>
            </w:pPr>
            <w:r>
              <w:t>Low</w:t>
            </w:r>
          </w:p>
        </w:tc>
        <w:tc>
          <w:tcPr>
            <w:tcW w:w="1134" w:type="dxa"/>
            <w:vAlign w:val="center"/>
          </w:tcPr>
          <w:p w:rsidR="000C37A2" w:rsidRDefault="000A391A" w:rsidP="002F076E">
            <w:pPr>
              <w:pStyle w:val="TableColTitleLeft"/>
              <w:jc w:val="center"/>
            </w:pPr>
            <w:r>
              <w:t>Medium</w:t>
            </w:r>
          </w:p>
        </w:tc>
        <w:tc>
          <w:tcPr>
            <w:tcW w:w="1072" w:type="dxa"/>
            <w:vAlign w:val="center"/>
          </w:tcPr>
          <w:p w:rsidR="000C37A2" w:rsidRDefault="000C37A2" w:rsidP="002F076E">
            <w:pPr>
              <w:pStyle w:val="TableColTitleLeft"/>
              <w:jc w:val="center"/>
            </w:pPr>
            <w:r>
              <w:t>Low</w:t>
            </w:r>
          </w:p>
        </w:tc>
      </w:tr>
      <w:tr w:rsidR="00A6550A" w:rsidTr="00A6550A">
        <w:trPr>
          <w:cantSplit/>
        </w:trPr>
        <w:tc>
          <w:tcPr>
            <w:tcW w:w="2974" w:type="dxa"/>
          </w:tcPr>
          <w:p w:rsidR="00A6550A" w:rsidRDefault="00A6550A" w:rsidP="00A6550A">
            <w:pPr>
              <w:pStyle w:val="TableColTitleLeft"/>
            </w:pPr>
            <w:r>
              <w:lastRenderedPageBreak/>
              <w:t>Possible accident situations and steps to prevent or limit their consequences</w:t>
            </w:r>
          </w:p>
        </w:tc>
        <w:tc>
          <w:tcPr>
            <w:tcW w:w="4092" w:type="dxa"/>
          </w:tcPr>
          <w:p w:rsidR="00A6550A" w:rsidRDefault="00A6550A" w:rsidP="00A6550A">
            <w:pPr>
              <w:pStyle w:val="TableColTitleLeft"/>
            </w:pPr>
            <w:r>
              <w:t>Loss or theft</w:t>
            </w:r>
          </w:p>
          <w:p w:rsidR="00A6550A" w:rsidRDefault="00A6550A" w:rsidP="00A6550A">
            <w:pPr>
              <w:pStyle w:val="TableDataLeft"/>
            </w:pPr>
            <w:r>
              <w:t>Loss of source through negligence</w:t>
            </w:r>
            <w:r w:rsidR="002C35FE">
              <w:t>.</w:t>
            </w:r>
          </w:p>
          <w:p w:rsidR="00A6550A" w:rsidRDefault="00A6550A" w:rsidP="00A6550A">
            <w:pPr>
              <w:pStyle w:val="TableDataLeft"/>
            </w:pPr>
            <w:r>
              <w:t>Theft of source</w:t>
            </w:r>
            <w:r w:rsidRPr="00AD7589">
              <w:t xml:space="preserve"> through poor security.</w:t>
            </w:r>
          </w:p>
          <w:p w:rsidR="0087463C" w:rsidRDefault="0087463C" w:rsidP="00A6550A">
            <w:pPr>
              <w:pStyle w:val="TableColTitleLeft"/>
            </w:pPr>
          </w:p>
          <w:p w:rsidR="0087463C" w:rsidRDefault="0087463C" w:rsidP="00A6550A">
            <w:pPr>
              <w:pStyle w:val="TableColTitleLeft"/>
            </w:pPr>
          </w:p>
          <w:p w:rsidR="0087463C" w:rsidRDefault="0087463C" w:rsidP="00A6550A">
            <w:pPr>
              <w:pStyle w:val="TableColTitleLeft"/>
            </w:pPr>
          </w:p>
          <w:p w:rsidR="0087463C" w:rsidRDefault="0087463C" w:rsidP="00A6550A">
            <w:pPr>
              <w:pStyle w:val="TableColTitleLeft"/>
            </w:pPr>
          </w:p>
          <w:p w:rsidR="00A6550A" w:rsidRDefault="00A6550A" w:rsidP="00A6550A">
            <w:pPr>
              <w:pStyle w:val="TableColTitleLeft"/>
            </w:pPr>
            <w:r>
              <w:t>Fire damage</w:t>
            </w:r>
          </w:p>
          <w:p w:rsidR="00A6550A" w:rsidRDefault="00A6550A" w:rsidP="00A6550A">
            <w:pPr>
              <w:pStyle w:val="TableDataLeft"/>
            </w:pPr>
            <w:r>
              <w:t>Sources may become damaged when in storage through the effects of fire in the room.</w:t>
            </w:r>
          </w:p>
          <w:p w:rsidR="00A6550A" w:rsidRDefault="00A6550A" w:rsidP="00A6550A">
            <w:pPr>
              <w:pStyle w:val="TableDataLeft"/>
            </w:pPr>
            <w:r>
              <w:t>Although fire damaged sources may not be intact, radioactivity will most likely be retained in the damaged or molten container or store.</w:t>
            </w:r>
          </w:p>
        </w:tc>
        <w:tc>
          <w:tcPr>
            <w:tcW w:w="4092" w:type="dxa"/>
          </w:tcPr>
          <w:p w:rsidR="00A6550A" w:rsidRDefault="00A6550A" w:rsidP="00A6550A">
            <w:pPr>
              <w:pStyle w:val="TableDataLeft"/>
            </w:pPr>
            <w:r w:rsidRPr="00AD7589">
              <w:t xml:space="preserve">When not in use </w:t>
            </w:r>
            <w:r>
              <w:t xml:space="preserve">sources should be </w:t>
            </w:r>
            <w:r w:rsidR="0087463C">
              <w:t>returned to their source containers</w:t>
            </w:r>
            <w:r w:rsidRPr="00AD7589">
              <w:t>.</w:t>
            </w:r>
          </w:p>
          <w:p w:rsidR="0087463C" w:rsidRPr="00AD7589" w:rsidRDefault="0087463C" w:rsidP="00A6550A">
            <w:pPr>
              <w:pStyle w:val="TableDataLeft"/>
            </w:pPr>
            <w:r>
              <w:t>After use sources should be returned promptly to their authorised storage location.</w:t>
            </w:r>
          </w:p>
          <w:p w:rsidR="00A6550A" w:rsidRDefault="00A6550A" w:rsidP="00A6550A">
            <w:pPr>
              <w:pStyle w:val="TableDataLeft"/>
            </w:pPr>
            <w:r>
              <w:t>Sources must not be left</w:t>
            </w:r>
            <w:r w:rsidRPr="00AD7589">
              <w:t xml:space="preserve"> unattended</w:t>
            </w:r>
            <w:r>
              <w:t xml:space="preserve"> when not in storage</w:t>
            </w:r>
            <w:r w:rsidRPr="00AD7589">
              <w:t>.</w:t>
            </w:r>
          </w:p>
          <w:p w:rsidR="006E1973" w:rsidRDefault="006E1973" w:rsidP="00A6550A">
            <w:pPr>
              <w:pStyle w:val="TableDataLeft"/>
            </w:pPr>
            <w:r>
              <w:t>Loss or theft should be reported immediately to the RPM and immediate steps taken to recover the source.</w:t>
            </w:r>
          </w:p>
          <w:p w:rsidR="00A6550A" w:rsidRDefault="00A6550A" w:rsidP="00A6550A">
            <w:pPr>
              <w:pStyle w:val="TableDataLeft"/>
              <w:rPr>
                <w:b/>
              </w:rPr>
            </w:pPr>
            <w:r>
              <w:t>Sources are inherently low risk and appropriate precautions have been taken within the university regarding fire prevention.</w:t>
            </w:r>
          </w:p>
          <w:p w:rsidR="00A6550A" w:rsidRDefault="00A6550A" w:rsidP="00A6550A">
            <w:pPr>
              <w:pStyle w:val="TableDataLeft"/>
            </w:pPr>
            <w:r>
              <w:t>The fire brigade should fight fires in areas where sealed sources are held.</w:t>
            </w:r>
          </w:p>
          <w:p w:rsidR="00A6550A" w:rsidRPr="00AD7589" w:rsidRDefault="00A6550A" w:rsidP="00A6550A">
            <w:pPr>
              <w:pStyle w:val="TableDataLeft"/>
            </w:pPr>
            <w:r>
              <w:t>Remediation may only be carried out under the direct supervision of the Radiation Protection Service.</w:t>
            </w:r>
          </w:p>
        </w:tc>
        <w:tc>
          <w:tcPr>
            <w:tcW w:w="1316" w:type="dxa"/>
            <w:vAlign w:val="center"/>
          </w:tcPr>
          <w:p w:rsidR="00A6550A" w:rsidRDefault="00A6550A" w:rsidP="00A6550A">
            <w:pPr>
              <w:pStyle w:val="TableColTitleLeft"/>
              <w:jc w:val="center"/>
            </w:pPr>
            <w:r>
              <w:t>Low</w:t>
            </w:r>
          </w:p>
        </w:tc>
        <w:tc>
          <w:tcPr>
            <w:tcW w:w="1134" w:type="dxa"/>
            <w:vAlign w:val="center"/>
          </w:tcPr>
          <w:p w:rsidR="00A6550A" w:rsidRDefault="00A6550A" w:rsidP="00A6550A">
            <w:pPr>
              <w:pStyle w:val="TableColTitleLeft"/>
              <w:jc w:val="center"/>
            </w:pPr>
            <w:r>
              <w:t>Medium</w:t>
            </w:r>
          </w:p>
        </w:tc>
        <w:tc>
          <w:tcPr>
            <w:tcW w:w="1072" w:type="dxa"/>
            <w:vAlign w:val="center"/>
          </w:tcPr>
          <w:p w:rsidR="00A6550A" w:rsidRDefault="00A6550A" w:rsidP="00A6550A">
            <w:pPr>
              <w:pStyle w:val="TableColTitleLeft"/>
              <w:jc w:val="center"/>
            </w:pPr>
            <w:r>
              <w:t>Low</w:t>
            </w:r>
          </w:p>
        </w:tc>
      </w:tr>
      <w:tr w:rsidR="00AE2F92" w:rsidTr="002914E1">
        <w:tc>
          <w:tcPr>
            <w:tcW w:w="2974" w:type="dxa"/>
          </w:tcPr>
          <w:p w:rsidR="00AE2F92" w:rsidRDefault="00AE2F92" w:rsidP="00AE2F92">
            <w:pPr>
              <w:pStyle w:val="TableColTitleLeft"/>
            </w:pPr>
            <w:r>
              <w:t>Failure of control measures</w:t>
            </w:r>
          </w:p>
        </w:tc>
        <w:tc>
          <w:tcPr>
            <w:tcW w:w="4092" w:type="dxa"/>
          </w:tcPr>
          <w:p w:rsidR="00AE2F92" w:rsidRDefault="00AE2F92" w:rsidP="00AE2F92">
            <w:pPr>
              <w:pStyle w:val="TableColTitleLeft"/>
            </w:pPr>
            <w:r>
              <w:t>Leakage of source</w:t>
            </w:r>
          </w:p>
          <w:p w:rsidR="00AE2F92" w:rsidRDefault="00AE2F92" w:rsidP="00AE2F92">
            <w:pPr>
              <w:pStyle w:val="TableDataLeft"/>
            </w:pPr>
            <w:r>
              <w:t>Source leakage could result in contamination and internal doses.  Leakage is unlikely.</w:t>
            </w:r>
          </w:p>
          <w:p w:rsidR="00AE2F92" w:rsidRDefault="00AE2F92" w:rsidP="00AE2F92">
            <w:pPr>
              <w:pStyle w:val="TableColTitleLeft"/>
            </w:pPr>
            <w:r>
              <w:t>Failure of source containment</w:t>
            </w:r>
          </w:p>
          <w:p w:rsidR="00AE2F92" w:rsidRDefault="00AE2F92" w:rsidP="00AE2F92">
            <w:pPr>
              <w:pStyle w:val="TableDataLeft"/>
            </w:pPr>
            <w:r>
              <w:t>Failure of the</w:t>
            </w:r>
            <w:r w:rsidR="000B518B">
              <w:t xml:space="preserve"> source</w:t>
            </w:r>
            <w:r>
              <w:t xml:space="preserve"> </w:t>
            </w:r>
            <w:r w:rsidR="000B518B">
              <w:t>container or source</w:t>
            </w:r>
            <w:r w:rsidR="002C35FE">
              <w:t xml:space="preserve"> holder</w:t>
            </w:r>
            <w:r>
              <w:t xml:space="preserve"> could result in the source being </w:t>
            </w:r>
            <w:r w:rsidR="000B518B">
              <w:t>dropped or lost</w:t>
            </w:r>
            <w:r>
              <w:t xml:space="preserve">.  Failure </w:t>
            </w:r>
            <w:r w:rsidR="00F467E5">
              <w:t xml:space="preserve">would be noticed on the checks before </w:t>
            </w:r>
            <w:r w:rsidR="000B518B">
              <w:t xml:space="preserve">and after </w:t>
            </w:r>
            <w:r w:rsidR="00F467E5">
              <w:t>use.</w:t>
            </w:r>
          </w:p>
          <w:p w:rsidR="00AE2F92" w:rsidRPr="00E313CE" w:rsidRDefault="00AE2F92" w:rsidP="00AE2F92">
            <w:pPr>
              <w:pStyle w:val="TableDataLeft"/>
              <w:rPr>
                <w:b/>
              </w:rPr>
            </w:pPr>
            <w:r w:rsidRPr="00E313CE">
              <w:rPr>
                <w:b/>
              </w:rPr>
              <w:t>Failure of systems of work</w:t>
            </w:r>
          </w:p>
          <w:p w:rsidR="00AE2F92" w:rsidRDefault="00AE2F92" w:rsidP="00AE2F92">
            <w:pPr>
              <w:pStyle w:val="TableDataLeft"/>
            </w:pPr>
            <w:r>
              <w:t xml:space="preserve">If the source user handled the sources </w:t>
            </w:r>
            <w:r>
              <w:lastRenderedPageBreak/>
              <w:t>incorrectly then they may receive an external radiation dose (see estimated doses above).</w:t>
            </w:r>
          </w:p>
          <w:p w:rsidR="008E4DC4" w:rsidRPr="00225922" w:rsidRDefault="008E4DC4" w:rsidP="008E4DC4">
            <w:pPr>
              <w:pStyle w:val="TableDataLeft"/>
              <w:rPr>
                <w:i/>
              </w:rPr>
            </w:pPr>
            <w:r w:rsidRPr="00225922">
              <w:rPr>
                <w:i/>
              </w:rPr>
              <w:t>Estimated dose</w:t>
            </w:r>
            <w:r w:rsidR="000B518B">
              <w:rPr>
                <w:i/>
              </w:rPr>
              <w:t>s</w:t>
            </w:r>
            <w:r w:rsidRPr="00225922">
              <w:rPr>
                <w:i/>
              </w:rPr>
              <w:t xml:space="preserve"> from incorrect handling:</w:t>
            </w:r>
          </w:p>
          <w:p w:rsidR="008E4DC4" w:rsidRDefault="00F467E5" w:rsidP="008E4DC4">
            <w:pPr>
              <w:pStyle w:val="TableDataLeft"/>
            </w:pPr>
            <w:r>
              <w:t>Source</w:t>
            </w:r>
            <w:r w:rsidR="008E4DC4">
              <w:t xml:space="preserve"> handled incorrectly for </w:t>
            </w:r>
            <w:r w:rsidR="006E1973">
              <w:t>5 minutes</w:t>
            </w:r>
            <w:r w:rsidR="008E4DC4">
              <w:t>:</w:t>
            </w:r>
          </w:p>
          <w:p w:rsidR="008E4DC4" w:rsidRDefault="008E4DC4" w:rsidP="008E4DC4">
            <w:pPr>
              <w:pStyle w:val="TableDataLeft"/>
              <w:ind w:firstLine="320"/>
            </w:pPr>
            <w:r>
              <w:t xml:space="preserve">Extremity  = </w:t>
            </w:r>
            <w:r w:rsidR="006E1973">
              <w:t>6.5</w:t>
            </w:r>
            <w:r>
              <w:t xml:space="preserve"> </w:t>
            </w:r>
            <w:r w:rsidR="000B518B">
              <w:t>m</w:t>
            </w:r>
            <w:r>
              <w:t>Sv effective dose</w:t>
            </w:r>
          </w:p>
          <w:p w:rsidR="00AE2F92" w:rsidRDefault="006E1973" w:rsidP="006E1973">
            <w:pPr>
              <w:pStyle w:val="TableDataLeft"/>
              <w:ind w:firstLine="320"/>
            </w:pPr>
            <w:r>
              <w:t>Whole body = 1.4</w:t>
            </w:r>
            <w:r w:rsidR="008E4DC4">
              <w:t xml:space="preserve"> </w:t>
            </w:r>
            <w:r>
              <w:t>µ</w:t>
            </w:r>
            <w:proofErr w:type="spellStart"/>
            <w:r w:rsidR="008E4DC4">
              <w:t>Sv</w:t>
            </w:r>
            <w:proofErr w:type="spellEnd"/>
          </w:p>
        </w:tc>
        <w:tc>
          <w:tcPr>
            <w:tcW w:w="4092" w:type="dxa"/>
          </w:tcPr>
          <w:p w:rsidR="006E1973" w:rsidRDefault="006E1973" w:rsidP="00AE2F92">
            <w:pPr>
              <w:pStyle w:val="TableDataLeft"/>
            </w:pPr>
          </w:p>
          <w:p w:rsidR="00AE2F92" w:rsidRDefault="00AE2F92" w:rsidP="00AE2F92">
            <w:pPr>
              <w:pStyle w:val="TableDataLeft"/>
            </w:pPr>
            <w:r>
              <w:t>Source leakage would be detected at the annual leak test and the source should be immediately taken out of use for further evaluation and disposal if necessary.</w:t>
            </w:r>
          </w:p>
          <w:p w:rsidR="00AE2F92" w:rsidRDefault="00AE2F92" w:rsidP="00AE2F92">
            <w:pPr>
              <w:pStyle w:val="TableDataLeft"/>
            </w:pPr>
            <w:r>
              <w:t xml:space="preserve">Failure of </w:t>
            </w:r>
            <w:r w:rsidR="002C35FE">
              <w:t xml:space="preserve">the </w:t>
            </w:r>
            <w:r>
              <w:t xml:space="preserve">source would be found either during the inspection before or after use or the annual leakage test and the source </w:t>
            </w:r>
            <w:r w:rsidR="002C35FE">
              <w:t xml:space="preserve">be </w:t>
            </w:r>
            <w:r>
              <w:t>taken out of use.</w:t>
            </w:r>
          </w:p>
          <w:p w:rsidR="000B518B" w:rsidRDefault="000B518B" w:rsidP="00AE2F92">
            <w:pPr>
              <w:pStyle w:val="TableDataLeft"/>
            </w:pPr>
          </w:p>
          <w:p w:rsidR="000B518B" w:rsidRDefault="000B518B" w:rsidP="00AE2F92">
            <w:pPr>
              <w:pStyle w:val="TableDataLeft"/>
            </w:pPr>
          </w:p>
          <w:p w:rsidR="000B518B" w:rsidRDefault="00AE2F92" w:rsidP="00AE2F92">
            <w:pPr>
              <w:pStyle w:val="TableDataLeft"/>
            </w:pPr>
            <w:r>
              <w:t>Estimated d</w:t>
            </w:r>
            <w:r w:rsidR="000B518B">
              <w:t xml:space="preserve">ose from incorrect use is </w:t>
            </w:r>
            <w:r w:rsidR="000B518B">
              <w:lastRenderedPageBreak/>
              <w:t>low.</w:t>
            </w:r>
          </w:p>
          <w:p w:rsidR="00AE2F92" w:rsidRDefault="000B518B" w:rsidP="00AE2F92">
            <w:pPr>
              <w:pStyle w:val="TableDataLeft"/>
            </w:pPr>
            <w:r>
              <w:t>Instructions contained in local rules and SOP</w:t>
            </w:r>
            <w:r w:rsidR="00AE2F92">
              <w:t>.</w:t>
            </w:r>
          </w:p>
        </w:tc>
        <w:tc>
          <w:tcPr>
            <w:tcW w:w="1316" w:type="dxa"/>
            <w:vAlign w:val="center"/>
          </w:tcPr>
          <w:p w:rsidR="00AE2F92" w:rsidRDefault="00AE2F92" w:rsidP="00AE2F92">
            <w:pPr>
              <w:pStyle w:val="TableColTitleLeft"/>
              <w:jc w:val="center"/>
            </w:pPr>
            <w:r>
              <w:lastRenderedPageBreak/>
              <w:t>Low</w:t>
            </w:r>
          </w:p>
        </w:tc>
        <w:tc>
          <w:tcPr>
            <w:tcW w:w="1134" w:type="dxa"/>
            <w:vAlign w:val="center"/>
          </w:tcPr>
          <w:p w:rsidR="00AE2F92" w:rsidRDefault="00AE2F92" w:rsidP="00AE2F92">
            <w:pPr>
              <w:pStyle w:val="TableColTitleLeft"/>
              <w:jc w:val="center"/>
            </w:pPr>
            <w:r>
              <w:t>Medium</w:t>
            </w:r>
          </w:p>
        </w:tc>
        <w:tc>
          <w:tcPr>
            <w:tcW w:w="1072" w:type="dxa"/>
            <w:vAlign w:val="center"/>
          </w:tcPr>
          <w:p w:rsidR="00AE2F92" w:rsidRDefault="00AE2F92" w:rsidP="00AE2F92">
            <w:pPr>
              <w:pStyle w:val="TableColTitleLeft"/>
              <w:jc w:val="center"/>
            </w:pPr>
            <w:r>
              <w:t>Low</w:t>
            </w:r>
          </w:p>
        </w:tc>
      </w:tr>
    </w:tbl>
    <w:p w:rsidR="00176BD0" w:rsidRPr="008151E2" w:rsidRDefault="00176BD0" w:rsidP="008D3FBD"/>
    <w:sectPr w:rsidR="00176BD0" w:rsidRPr="008151E2" w:rsidSect="00F42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134" w:right="1134" w:bottom="1134" w:left="1134" w:header="992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CA" w:rsidRDefault="00BA30CA">
      <w:r>
        <w:separator/>
      </w:r>
    </w:p>
  </w:endnote>
  <w:endnote w:type="continuationSeparator" w:id="0">
    <w:p w:rsidR="00BA30CA" w:rsidRDefault="00BA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6E" w:rsidRDefault="000E21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6E" w:rsidRDefault="000E21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6E" w:rsidRDefault="000E21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CA" w:rsidRDefault="00BA30CA">
      <w:r>
        <w:separator/>
      </w:r>
    </w:p>
  </w:footnote>
  <w:footnote w:type="continuationSeparator" w:id="0">
    <w:p w:rsidR="00BA30CA" w:rsidRDefault="00BA3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6E" w:rsidRDefault="000E21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15" w:rsidRDefault="001D0C15" w:rsidP="009C335B">
    <w:pPr>
      <w:pStyle w:val="Header"/>
      <w:tabs>
        <w:tab w:val="clear" w:pos="9639"/>
        <w:tab w:val="left" w:pos="13608"/>
      </w:tabs>
    </w:pPr>
    <w:r>
      <w:t xml:space="preserve">RPA Risk Assessment No. </w:t>
    </w:r>
    <w:r w:rsidR="000E216E">
      <w:t>20</w:t>
    </w:r>
    <w:r>
      <w:t xml:space="preserve">: </w:t>
    </w:r>
    <w:r w:rsidR="000E216E">
      <w:t>Exempt sealed s</w:t>
    </w:r>
    <w:r w:rsidR="00273F6E">
      <w:t>ources</w:t>
    </w:r>
    <w:r w:rsidR="009C335B">
      <w:tab/>
      <w:t xml:space="preserve">Page </w:t>
    </w:r>
    <w:r w:rsidR="009C335B">
      <w:fldChar w:fldCharType="begin"/>
    </w:r>
    <w:r w:rsidR="009C335B">
      <w:instrText xml:space="preserve"> PAGE   \* MERGEFORMAT </w:instrText>
    </w:r>
    <w:r w:rsidR="009C335B">
      <w:fldChar w:fldCharType="separate"/>
    </w:r>
    <w:r w:rsidR="00ED492D">
      <w:rPr>
        <w:noProof/>
      </w:rPr>
      <w:t>3</w:t>
    </w:r>
    <w:r w:rsidR="009C335B">
      <w:fldChar w:fldCharType="end"/>
    </w:r>
    <w:r w:rsidR="009C335B">
      <w:t xml:space="preserve"> / </w:t>
    </w:r>
    <w:r w:rsidR="00ED492D">
      <w:fldChar w:fldCharType="begin"/>
    </w:r>
    <w:r w:rsidR="00ED492D">
      <w:instrText xml:space="preserve"> NUMPAGES   \* MERGEFORMAT </w:instrText>
    </w:r>
    <w:r w:rsidR="00ED492D">
      <w:fldChar w:fldCharType="separate"/>
    </w:r>
    <w:r w:rsidR="00ED492D">
      <w:rPr>
        <w:noProof/>
      </w:rPr>
      <w:t>8</w:t>
    </w:r>
    <w:r w:rsidR="00ED492D">
      <w:rPr>
        <w:noProof/>
      </w:rPr>
      <w:fldChar w:fldCharType="end"/>
    </w:r>
  </w:p>
  <w:p w:rsidR="001D0C15" w:rsidRDefault="001D0C15" w:rsidP="006E1C02">
    <w:pPr>
      <w:pStyle w:val="Header"/>
      <w:tabs>
        <w:tab w:val="clear" w:pos="9639"/>
        <w:tab w:val="right" w:pos="14601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15" w:rsidRDefault="001D0C15">
    <w:pPr>
      <w:rPr>
        <w:color w:val="FFFFFF"/>
      </w:rPr>
    </w:pPr>
    <w:r>
      <w:rPr>
        <w:color w:val="FFFFFF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F80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98E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CC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D2F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E85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A8A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AFF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74C92A"/>
    <w:lvl w:ilvl="0">
      <w:start w:val="1"/>
      <w:numFmt w:val="bullet"/>
      <w:pStyle w:val="ListBullet2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800000"/>
        <w:spacing w:val="0"/>
        <w:position w:val="0"/>
        <w:sz w:val="22"/>
        <w:vertAlign w:val="baseline"/>
      </w:rPr>
    </w:lvl>
  </w:abstractNum>
  <w:abstractNum w:abstractNumId="8">
    <w:nsid w:val="FFFFFF88"/>
    <w:multiLevelType w:val="singleLevel"/>
    <w:tmpl w:val="804A0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8A050A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800000"/>
        <w:sz w:val="22"/>
        <w:vertAlign w:val="baseline"/>
      </w:rPr>
    </w:lvl>
  </w:abstractNum>
  <w:abstractNum w:abstractNumId="10">
    <w:nsid w:val="01182399"/>
    <w:multiLevelType w:val="hybridMultilevel"/>
    <w:tmpl w:val="BF64E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0C30F6"/>
    <w:multiLevelType w:val="hybridMultilevel"/>
    <w:tmpl w:val="F6966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6C0834"/>
    <w:multiLevelType w:val="hybridMultilevel"/>
    <w:tmpl w:val="CBCE5A1E"/>
    <w:lvl w:ilvl="0" w:tplc="95E019F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A66F7"/>
    <w:multiLevelType w:val="hybridMultilevel"/>
    <w:tmpl w:val="A38A8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403605"/>
    <w:multiLevelType w:val="hybridMultilevel"/>
    <w:tmpl w:val="F93AB8B8"/>
    <w:lvl w:ilvl="0" w:tplc="24C021CC">
      <w:start w:val="1"/>
      <w:numFmt w:val="decimal"/>
      <w:pStyle w:val="Table"/>
      <w:lvlText w:val="Table 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430FD0"/>
    <w:multiLevelType w:val="hybridMultilevel"/>
    <w:tmpl w:val="5B7E5208"/>
    <w:lvl w:ilvl="0" w:tplc="394A322E">
      <w:numFmt w:val="bullet"/>
      <w:lvlText w:val=""/>
      <w:lvlJc w:val="left"/>
      <w:pPr>
        <w:ind w:left="337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6">
    <w:nsid w:val="179D2362"/>
    <w:multiLevelType w:val="multilevel"/>
    <w:tmpl w:val="EE7C8E10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86330F2"/>
    <w:multiLevelType w:val="hybridMultilevel"/>
    <w:tmpl w:val="E2242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F13302"/>
    <w:multiLevelType w:val="hybridMultilevel"/>
    <w:tmpl w:val="8A464B28"/>
    <w:lvl w:ilvl="0" w:tplc="A614F7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B80A1D"/>
    <w:multiLevelType w:val="hybridMultilevel"/>
    <w:tmpl w:val="5BA2A910"/>
    <w:lvl w:ilvl="0" w:tplc="6EB6D49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1435C"/>
    <w:multiLevelType w:val="hybridMultilevel"/>
    <w:tmpl w:val="CE180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121475"/>
    <w:multiLevelType w:val="hybridMultilevel"/>
    <w:tmpl w:val="2700A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A5395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6116001"/>
    <w:multiLevelType w:val="hybridMultilevel"/>
    <w:tmpl w:val="9134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4C68BF"/>
    <w:multiLevelType w:val="multilevel"/>
    <w:tmpl w:val="E4CC2A3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4360A33"/>
    <w:multiLevelType w:val="hybridMultilevel"/>
    <w:tmpl w:val="F92CC8E4"/>
    <w:lvl w:ilvl="0" w:tplc="EF1EFAF8">
      <w:start w:val="1"/>
      <w:numFmt w:val="decimal"/>
      <w:pStyle w:val="Figure"/>
      <w:lvlText w:val="Figure 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kern w:val="0"/>
        <w:position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F54095"/>
    <w:multiLevelType w:val="hybridMultilevel"/>
    <w:tmpl w:val="B4F0E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B81041"/>
    <w:multiLevelType w:val="hybridMultilevel"/>
    <w:tmpl w:val="78302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2E5B75"/>
    <w:multiLevelType w:val="singleLevel"/>
    <w:tmpl w:val="949CCFE8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850"/>
      </w:pPr>
      <w:rPr>
        <w:rFonts w:ascii="Symbol" w:hAnsi="Symbol" w:hint="default"/>
        <w:sz w:val="24"/>
      </w:rPr>
    </w:lvl>
  </w:abstractNum>
  <w:abstractNum w:abstractNumId="29">
    <w:nsid w:val="556A058F"/>
    <w:multiLevelType w:val="hybridMultilevel"/>
    <w:tmpl w:val="C26C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564B4B"/>
    <w:multiLevelType w:val="singleLevel"/>
    <w:tmpl w:val="949CCFE8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850"/>
      </w:pPr>
      <w:rPr>
        <w:rFonts w:ascii="Symbol" w:hAnsi="Symbol" w:hint="default"/>
        <w:sz w:val="24"/>
      </w:rPr>
    </w:lvl>
  </w:abstractNum>
  <w:abstractNum w:abstractNumId="31">
    <w:nsid w:val="5BBF735F"/>
    <w:multiLevelType w:val="hybridMultilevel"/>
    <w:tmpl w:val="9FF2A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90A2F"/>
    <w:multiLevelType w:val="hybridMultilevel"/>
    <w:tmpl w:val="D7789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77013"/>
    <w:multiLevelType w:val="hybridMultilevel"/>
    <w:tmpl w:val="BF8CD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B3333"/>
    <w:multiLevelType w:val="hybridMultilevel"/>
    <w:tmpl w:val="BF64E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30"/>
  </w:num>
  <w:num w:numId="16">
    <w:abstractNumId w:val="18"/>
  </w:num>
  <w:num w:numId="17">
    <w:abstractNumId w:val="22"/>
  </w:num>
  <w:num w:numId="18">
    <w:abstractNumId w:val="19"/>
  </w:num>
  <w:num w:numId="19">
    <w:abstractNumId w:val="16"/>
  </w:num>
  <w:num w:numId="20">
    <w:abstractNumId w:val="24"/>
  </w:num>
  <w:num w:numId="21">
    <w:abstractNumId w:val="26"/>
  </w:num>
  <w:num w:numId="22">
    <w:abstractNumId w:val="34"/>
  </w:num>
  <w:num w:numId="23">
    <w:abstractNumId w:val="27"/>
  </w:num>
  <w:num w:numId="24">
    <w:abstractNumId w:val="13"/>
  </w:num>
  <w:num w:numId="25">
    <w:abstractNumId w:val="10"/>
  </w:num>
  <w:num w:numId="26">
    <w:abstractNumId w:val="23"/>
  </w:num>
  <w:num w:numId="27">
    <w:abstractNumId w:val="11"/>
  </w:num>
  <w:num w:numId="28">
    <w:abstractNumId w:val="31"/>
  </w:num>
  <w:num w:numId="29">
    <w:abstractNumId w:val="21"/>
  </w:num>
  <w:num w:numId="30">
    <w:abstractNumId w:val="20"/>
  </w:num>
  <w:num w:numId="31">
    <w:abstractNumId w:val="32"/>
  </w:num>
  <w:num w:numId="32">
    <w:abstractNumId w:val="15"/>
  </w:num>
  <w:num w:numId="33">
    <w:abstractNumId w:val="29"/>
  </w:num>
  <w:num w:numId="34">
    <w:abstractNumId w:val="33"/>
  </w:num>
  <w:num w:numId="3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D7"/>
    <w:rsid w:val="000014E0"/>
    <w:rsid w:val="00013D8B"/>
    <w:rsid w:val="000147B0"/>
    <w:rsid w:val="00026E14"/>
    <w:rsid w:val="00032291"/>
    <w:rsid w:val="00033A5C"/>
    <w:rsid w:val="00035D62"/>
    <w:rsid w:val="000371F4"/>
    <w:rsid w:val="00040348"/>
    <w:rsid w:val="00041600"/>
    <w:rsid w:val="0005348A"/>
    <w:rsid w:val="000545E5"/>
    <w:rsid w:val="00065CFF"/>
    <w:rsid w:val="00080572"/>
    <w:rsid w:val="00081335"/>
    <w:rsid w:val="000A391A"/>
    <w:rsid w:val="000A39A2"/>
    <w:rsid w:val="000B518B"/>
    <w:rsid w:val="000B59F7"/>
    <w:rsid w:val="000B5C4F"/>
    <w:rsid w:val="000C2DE6"/>
    <w:rsid w:val="000C37A2"/>
    <w:rsid w:val="000C37CF"/>
    <w:rsid w:val="000C4181"/>
    <w:rsid w:val="000C4BF4"/>
    <w:rsid w:val="000D058D"/>
    <w:rsid w:val="000D50E2"/>
    <w:rsid w:val="000D70B5"/>
    <w:rsid w:val="000E216E"/>
    <w:rsid w:val="000E46F5"/>
    <w:rsid w:val="0010193A"/>
    <w:rsid w:val="00105FD2"/>
    <w:rsid w:val="00106BDF"/>
    <w:rsid w:val="001117F7"/>
    <w:rsid w:val="00112961"/>
    <w:rsid w:val="00120831"/>
    <w:rsid w:val="0012235D"/>
    <w:rsid w:val="00132E9F"/>
    <w:rsid w:val="00146269"/>
    <w:rsid w:val="00146DCC"/>
    <w:rsid w:val="00156E00"/>
    <w:rsid w:val="00162288"/>
    <w:rsid w:val="001653AA"/>
    <w:rsid w:val="00165436"/>
    <w:rsid w:val="00171042"/>
    <w:rsid w:val="00172E0B"/>
    <w:rsid w:val="00176BD0"/>
    <w:rsid w:val="00182BD4"/>
    <w:rsid w:val="0018388C"/>
    <w:rsid w:val="001960C5"/>
    <w:rsid w:val="001968BB"/>
    <w:rsid w:val="001A13ED"/>
    <w:rsid w:val="001A255C"/>
    <w:rsid w:val="001A63A0"/>
    <w:rsid w:val="001B19CE"/>
    <w:rsid w:val="001B7AFF"/>
    <w:rsid w:val="001C0E63"/>
    <w:rsid w:val="001C50C8"/>
    <w:rsid w:val="001C6CDE"/>
    <w:rsid w:val="001D0C15"/>
    <w:rsid w:val="001D197E"/>
    <w:rsid w:val="001E6CC8"/>
    <w:rsid w:val="001E6F66"/>
    <w:rsid w:val="001F0809"/>
    <w:rsid w:val="001F33A7"/>
    <w:rsid w:val="001F4BB3"/>
    <w:rsid w:val="001F7ED9"/>
    <w:rsid w:val="00200A91"/>
    <w:rsid w:val="00200E3C"/>
    <w:rsid w:val="00204C42"/>
    <w:rsid w:val="002062F2"/>
    <w:rsid w:val="00206CAD"/>
    <w:rsid w:val="00222C08"/>
    <w:rsid w:val="00225922"/>
    <w:rsid w:val="002269EB"/>
    <w:rsid w:val="00227F9A"/>
    <w:rsid w:val="00230C26"/>
    <w:rsid w:val="00234C4B"/>
    <w:rsid w:val="00237A68"/>
    <w:rsid w:val="00242841"/>
    <w:rsid w:val="00244C50"/>
    <w:rsid w:val="00246A88"/>
    <w:rsid w:val="0025133D"/>
    <w:rsid w:val="0026639D"/>
    <w:rsid w:val="00267E41"/>
    <w:rsid w:val="00273360"/>
    <w:rsid w:val="00273F6E"/>
    <w:rsid w:val="00280225"/>
    <w:rsid w:val="002866D7"/>
    <w:rsid w:val="0029508A"/>
    <w:rsid w:val="002A323B"/>
    <w:rsid w:val="002A6D0C"/>
    <w:rsid w:val="002B2D02"/>
    <w:rsid w:val="002B352D"/>
    <w:rsid w:val="002B5865"/>
    <w:rsid w:val="002C35FE"/>
    <w:rsid w:val="002D1141"/>
    <w:rsid w:val="002D2DBF"/>
    <w:rsid w:val="002D31D4"/>
    <w:rsid w:val="002D65AB"/>
    <w:rsid w:val="002E120B"/>
    <w:rsid w:val="002E3B8F"/>
    <w:rsid w:val="002E42A8"/>
    <w:rsid w:val="002F076E"/>
    <w:rsid w:val="002F3081"/>
    <w:rsid w:val="00312944"/>
    <w:rsid w:val="0032345F"/>
    <w:rsid w:val="003338A2"/>
    <w:rsid w:val="00334139"/>
    <w:rsid w:val="00335DA9"/>
    <w:rsid w:val="0033719D"/>
    <w:rsid w:val="0035596E"/>
    <w:rsid w:val="00362E9E"/>
    <w:rsid w:val="003640D4"/>
    <w:rsid w:val="00366C77"/>
    <w:rsid w:val="00366D49"/>
    <w:rsid w:val="00377110"/>
    <w:rsid w:val="003774CA"/>
    <w:rsid w:val="003A10DC"/>
    <w:rsid w:val="003A605B"/>
    <w:rsid w:val="003A6D22"/>
    <w:rsid w:val="003A7562"/>
    <w:rsid w:val="003B14AC"/>
    <w:rsid w:val="003B58B4"/>
    <w:rsid w:val="003B76C4"/>
    <w:rsid w:val="003B7F72"/>
    <w:rsid w:val="003C5693"/>
    <w:rsid w:val="003D09AA"/>
    <w:rsid w:val="003D1D6E"/>
    <w:rsid w:val="003D30BA"/>
    <w:rsid w:val="003D6083"/>
    <w:rsid w:val="003F1CD6"/>
    <w:rsid w:val="003F5C5B"/>
    <w:rsid w:val="003F744E"/>
    <w:rsid w:val="00404E7A"/>
    <w:rsid w:val="004145BE"/>
    <w:rsid w:val="00420878"/>
    <w:rsid w:val="00423F1F"/>
    <w:rsid w:val="00426DD3"/>
    <w:rsid w:val="00434742"/>
    <w:rsid w:val="00451EA5"/>
    <w:rsid w:val="00452C97"/>
    <w:rsid w:val="00472BDC"/>
    <w:rsid w:val="00474480"/>
    <w:rsid w:val="00482A9A"/>
    <w:rsid w:val="00493B14"/>
    <w:rsid w:val="004A4D26"/>
    <w:rsid w:val="004A4DFB"/>
    <w:rsid w:val="004A68B2"/>
    <w:rsid w:val="004B61EB"/>
    <w:rsid w:val="004B7C15"/>
    <w:rsid w:val="004B7D85"/>
    <w:rsid w:val="004C0AB4"/>
    <w:rsid w:val="004C1204"/>
    <w:rsid w:val="004C3F70"/>
    <w:rsid w:val="004D2E07"/>
    <w:rsid w:val="004D55AA"/>
    <w:rsid w:val="004F19A7"/>
    <w:rsid w:val="005011BA"/>
    <w:rsid w:val="00501F54"/>
    <w:rsid w:val="00506B5D"/>
    <w:rsid w:val="00513C1D"/>
    <w:rsid w:val="00516B69"/>
    <w:rsid w:val="00524965"/>
    <w:rsid w:val="005266AA"/>
    <w:rsid w:val="0052730A"/>
    <w:rsid w:val="005347BC"/>
    <w:rsid w:val="0053597D"/>
    <w:rsid w:val="00537186"/>
    <w:rsid w:val="00537BA3"/>
    <w:rsid w:val="00541764"/>
    <w:rsid w:val="00542353"/>
    <w:rsid w:val="00542964"/>
    <w:rsid w:val="00542CF0"/>
    <w:rsid w:val="00544B8E"/>
    <w:rsid w:val="00544C56"/>
    <w:rsid w:val="0055185C"/>
    <w:rsid w:val="00554163"/>
    <w:rsid w:val="0056714F"/>
    <w:rsid w:val="00567D45"/>
    <w:rsid w:val="00567F24"/>
    <w:rsid w:val="0057361F"/>
    <w:rsid w:val="005741DE"/>
    <w:rsid w:val="00581E83"/>
    <w:rsid w:val="0058793D"/>
    <w:rsid w:val="005910D3"/>
    <w:rsid w:val="00592A4B"/>
    <w:rsid w:val="00597715"/>
    <w:rsid w:val="005A10BB"/>
    <w:rsid w:val="005A13F8"/>
    <w:rsid w:val="005A1731"/>
    <w:rsid w:val="005A2FF0"/>
    <w:rsid w:val="005A5EDD"/>
    <w:rsid w:val="005A7ABA"/>
    <w:rsid w:val="005B0D6F"/>
    <w:rsid w:val="005B7938"/>
    <w:rsid w:val="005C1386"/>
    <w:rsid w:val="005C338D"/>
    <w:rsid w:val="005D092B"/>
    <w:rsid w:val="005E19F3"/>
    <w:rsid w:val="005E2657"/>
    <w:rsid w:val="005E2F5D"/>
    <w:rsid w:val="005E40A3"/>
    <w:rsid w:val="005F0650"/>
    <w:rsid w:val="0060192F"/>
    <w:rsid w:val="006058E1"/>
    <w:rsid w:val="00605EF6"/>
    <w:rsid w:val="0062120C"/>
    <w:rsid w:val="00631D41"/>
    <w:rsid w:val="00634397"/>
    <w:rsid w:val="00640347"/>
    <w:rsid w:val="00656BE5"/>
    <w:rsid w:val="006603B8"/>
    <w:rsid w:val="00661876"/>
    <w:rsid w:val="00663BB5"/>
    <w:rsid w:val="00666886"/>
    <w:rsid w:val="006714BC"/>
    <w:rsid w:val="006736E0"/>
    <w:rsid w:val="006758DA"/>
    <w:rsid w:val="0068077F"/>
    <w:rsid w:val="006937EF"/>
    <w:rsid w:val="006951E5"/>
    <w:rsid w:val="00697BEC"/>
    <w:rsid w:val="006A74A3"/>
    <w:rsid w:val="006B009F"/>
    <w:rsid w:val="006B75FE"/>
    <w:rsid w:val="006D4221"/>
    <w:rsid w:val="006D573E"/>
    <w:rsid w:val="006D5CC4"/>
    <w:rsid w:val="006E1973"/>
    <w:rsid w:val="006E1A5B"/>
    <w:rsid w:val="006E1C02"/>
    <w:rsid w:val="006E3CE8"/>
    <w:rsid w:val="006F02CD"/>
    <w:rsid w:val="006F3B7F"/>
    <w:rsid w:val="006F786F"/>
    <w:rsid w:val="0070075E"/>
    <w:rsid w:val="00705826"/>
    <w:rsid w:val="00707644"/>
    <w:rsid w:val="00723327"/>
    <w:rsid w:val="0073131B"/>
    <w:rsid w:val="00736949"/>
    <w:rsid w:val="007400FB"/>
    <w:rsid w:val="00740C88"/>
    <w:rsid w:val="00741176"/>
    <w:rsid w:val="00743669"/>
    <w:rsid w:val="00747C76"/>
    <w:rsid w:val="00757409"/>
    <w:rsid w:val="007643A2"/>
    <w:rsid w:val="007740DE"/>
    <w:rsid w:val="00776F46"/>
    <w:rsid w:val="00777FBB"/>
    <w:rsid w:val="00783A8B"/>
    <w:rsid w:val="00783C11"/>
    <w:rsid w:val="00787561"/>
    <w:rsid w:val="00794EFA"/>
    <w:rsid w:val="007A0922"/>
    <w:rsid w:val="007A6D43"/>
    <w:rsid w:val="007A6F28"/>
    <w:rsid w:val="007B5C54"/>
    <w:rsid w:val="007C29A4"/>
    <w:rsid w:val="007C5EE9"/>
    <w:rsid w:val="007D2773"/>
    <w:rsid w:val="007D4432"/>
    <w:rsid w:val="007D4D3B"/>
    <w:rsid w:val="007E5973"/>
    <w:rsid w:val="007E78F7"/>
    <w:rsid w:val="00802738"/>
    <w:rsid w:val="00806598"/>
    <w:rsid w:val="008151E2"/>
    <w:rsid w:val="0081598E"/>
    <w:rsid w:val="00824461"/>
    <w:rsid w:val="00832EEC"/>
    <w:rsid w:val="00833013"/>
    <w:rsid w:val="00835BD8"/>
    <w:rsid w:val="00837EA3"/>
    <w:rsid w:val="0084061C"/>
    <w:rsid w:val="00847F06"/>
    <w:rsid w:val="008553C4"/>
    <w:rsid w:val="0086563B"/>
    <w:rsid w:val="00865881"/>
    <w:rsid w:val="0087463C"/>
    <w:rsid w:val="00874A2D"/>
    <w:rsid w:val="008776F8"/>
    <w:rsid w:val="0088426D"/>
    <w:rsid w:val="00893B92"/>
    <w:rsid w:val="00897C73"/>
    <w:rsid w:val="008A59AC"/>
    <w:rsid w:val="008A6A5E"/>
    <w:rsid w:val="008B099E"/>
    <w:rsid w:val="008C7F85"/>
    <w:rsid w:val="008D3FBD"/>
    <w:rsid w:val="008E16F5"/>
    <w:rsid w:val="008E4DC4"/>
    <w:rsid w:val="008F0DD7"/>
    <w:rsid w:val="00911C5E"/>
    <w:rsid w:val="00915530"/>
    <w:rsid w:val="00917AE4"/>
    <w:rsid w:val="009266DD"/>
    <w:rsid w:val="009307CE"/>
    <w:rsid w:val="00944283"/>
    <w:rsid w:val="00954095"/>
    <w:rsid w:val="00963E70"/>
    <w:rsid w:val="00965A65"/>
    <w:rsid w:val="00967536"/>
    <w:rsid w:val="00972356"/>
    <w:rsid w:val="00981E53"/>
    <w:rsid w:val="0098419E"/>
    <w:rsid w:val="00985607"/>
    <w:rsid w:val="0099195B"/>
    <w:rsid w:val="009A0311"/>
    <w:rsid w:val="009A13A0"/>
    <w:rsid w:val="009A7BFC"/>
    <w:rsid w:val="009B528A"/>
    <w:rsid w:val="009B566C"/>
    <w:rsid w:val="009C173F"/>
    <w:rsid w:val="009C335B"/>
    <w:rsid w:val="009D79F4"/>
    <w:rsid w:val="009E2841"/>
    <w:rsid w:val="009E4314"/>
    <w:rsid w:val="009E4D56"/>
    <w:rsid w:val="009E4DE2"/>
    <w:rsid w:val="009E7A4B"/>
    <w:rsid w:val="009F6F42"/>
    <w:rsid w:val="00A00E9B"/>
    <w:rsid w:val="00A03D14"/>
    <w:rsid w:val="00A22D0C"/>
    <w:rsid w:val="00A306E8"/>
    <w:rsid w:val="00A40779"/>
    <w:rsid w:val="00A4490E"/>
    <w:rsid w:val="00A455F0"/>
    <w:rsid w:val="00A45A2B"/>
    <w:rsid w:val="00A45CF6"/>
    <w:rsid w:val="00A4659C"/>
    <w:rsid w:val="00A51CD1"/>
    <w:rsid w:val="00A53ECD"/>
    <w:rsid w:val="00A54BF3"/>
    <w:rsid w:val="00A6114E"/>
    <w:rsid w:val="00A6550A"/>
    <w:rsid w:val="00A70D70"/>
    <w:rsid w:val="00A7119F"/>
    <w:rsid w:val="00A73F4A"/>
    <w:rsid w:val="00A82910"/>
    <w:rsid w:val="00A82E52"/>
    <w:rsid w:val="00A87510"/>
    <w:rsid w:val="00A9024C"/>
    <w:rsid w:val="00AA6613"/>
    <w:rsid w:val="00AB3ECE"/>
    <w:rsid w:val="00AC02C5"/>
    <w:rsid w:val="00AC14B4"/>
    <w:rsid w:val="00AD74E0"/>
    <w:rsid w:val="00AD7589"/>
    <w:rsid w:val="00AE0063"/>
    <w:rsid w:val="00AE2F92"/>
    <w:rsid w:val="00AE39C8"/>
    <w:rsid w:val="00AE3C12"/>
    <w:rsid w:val="00AE700A"/>
    <w:rsid w:val="00AF1C92"/>
    <w:rsid w:val="00B10BCD"/>
    <w:rsid w:val="00B11BE7"/>
    <w:rsid w:val="00B22058"/>
    <w:rsid w:val="00B33009"/>
    <w:rsid w:val="00B40EBA"/>
    <w:rsid w:val="00B456B8"/>
    <w:rsid w:val="00B52483"/>
    <w:rsid w:val="00B5464A"/>
    <w:rsid w:val="00B55E72"/>
    <w:rsid w:val="00B612EB"/>
    <w:rsid w:val="00B7057F"/>
    <w:rsid w:val="00B70766"/>
    <w:rsid w:val="00B71B18"/>
    <w:rsid w:val="00B726D6"/>
    <w:rsid w:val="00B77851"/>
    <w:rsid w:val="00B84EFA"/>
    <w:rsid w:val="00B912EA"/>
    <w:rsid w:val="00BA22B9"/>
    <w:rsid w:val="00BA30CA"/>
    <w:rsid w:val="00BA67B3"/>
    <w:rsid w:val="00BA762A"/>
    <w:rsid w:val="00BB05D5"/>
    <w:rsid w:val="00BB5C53"/>
    <w:rsid w:val="00BD14B5"/>
    <w:rsid w:val="00BD39D2"/>
    <w:rsid w:val="00BD5416"/>
    <w:rsid w:val="00BE710F"/>
    <w:rsid w:val="00BE77ED"/>
    <w:rsid w:val="00BF3990"/>
    <w:rsid w:val="00BF7F00"/>
    <w:rsid w:val="00C07A90"/>
    <w:rsid w:val="00C11677"/>
    <w:rsid w:val="00C179AB"/>
    <w:rsid w:val="00C211E5"/>
    <w:rsid w:val="00C43235"/>
    <w:rsid w:val="00C44308"/>
    <w:rsid w:val="00C4477D"/>
    <w:rsid w:val="00C52ABE"/>
    <w:rsid w:val="00C64F61"/>
    <w:rsid w:val="00C70278"/>
    <w:rsid w:val="00C74E54"/>
    <w:rsid w:val="00C75369"/>
    <w:rsid w:val="00C86022"/>
    <w:rsid w:val="00C87D60"/>
    <w:rsid w:val="00C949A4"/>
    <w:rsid w:val="00C956A7"/>
    <w:rsid w:val="00CA79B2"/>
    <w:rsid w:val="00CA7B03"/>
    <w:rsid w:val="00CC49C9"/>
    <w:rsid w:val="00CD2552"/>
    <w:rsid w:val="00CD45C1"/>
    <w:rsid w:val="00CD605D"/>
    <w:rsid w:val="00CE2BCF"/>
    <w:rsid w:val="00CE4D3C"/>
    <w:rsid w:val="00CF2D3B"/>
    <w:rsid w:val="00CF2D66"/>
    <w:rsid w:val="00D046E3"/>
    <w:rsid w:val="00D050A5"/>
    <w:rsid w:val="00D13307"/>
    <w:rsid w:val="00D14EDC"/>
    <w:rsid w:val="00D237A5"/>
    <w:rsid w:val="00D30646"/>
    <w:rsid w:val="00D32786"/>
    <w:rsid w:val="00D33486"/>
    <w:rsid w:val="00D36DBC"/>
    <w:rsid w:val="00D372F9"/>
    <w:rsid w:val="00D37EAD"/>
    <w:rsid w:val="00D453DC"/>
    <w:rsid w:val="00D51B9F"/>
    <w:rsid w:val="00D55A19"/>
    <w:rsid w:val="00D66621"/>
    <w:rsid w:val="00D7430E"/>
    <w:rsid w:val="00D745D1"/>
    <w:rsid w:val="00D7770A"/>
    <w:rsid w:val="00D846E3"/>
    <w:rsid w:val="00D85323"/>
    <w:rsid w:val="00D8726A"/>
    <w:rsid w:val="00DA6E33"/>
    <w:rsid w:val="00DA6E94"/>
    <w:rsid w:val="00DC5D4E"/>
    <w:rsid w:val="00DE2F57"/>
    <w:rsid w:val="00DE56FB"/>
    <w:rsid w:val="00DE59D5"/>
    <w:rsid w:val="00DF1774"/>
    <w:rsid w:val="00DF3481"/>
    <w:rsid w:val="00DF5802"/>
    <w:rsid w:val="00DF642B"/>
    <w:rsid w:val="00DF7154"/>
    <w:rsid w:val="00E00B24"/>
    <w:rsid w:val="00E02DF1"/>
    <w:rsid w:val="00E155D7"/>
    <w:rsid w:val="00E30BEA"/>
    <w:rsid w:val="00E313CE"/>
    <w:rsid w:val="00E31B05"/>
    <w:rsid w:val="00E34500"/>
    <w:rsid w:val="00E36C87"/>
    <w:rsid w:val="00E407ED"/>
    <w:rsid w:val="00E41759"/>
    <w:rsid w:val="00E46450"/>
    <w:rsid w:val="00E467C0"/>
    <w:rsid w:val="00E51730"/>
    <w:rsid w:val="00E53953"/>
    <w:rsid w:val="00E554D6"/>
    <w:rsid w:val="00E55774"/>
    <w:rsid w:val="00E606FF"/>
    <w:rsid w:val="00E65FC2"/>
    <w:rsid w:val="00E77FD1"/>
    <w:rsid w:val="00E815D2"/>
    <w:rsid w:val="00E84417"/>
    <w:rsid w:val="00E900A8"/>
    <w:rsid w:val="00E917F1"/>
    <w:rsid w:val="00E927DC"/>
    <w:rsid w:val="00E96F94"/>
    <w:rsid w:val="00EA0ABD"/>
    <w:rsid w:val="00EA11C5"/>
    <w:rsid w:val="00EA712A"/>
    <w:rsid w:val="00EB3EAC"/>
    <w:rsid w:val="00EB6359"/>
    <w:rsid w:val="00ED039B"/>
    <w:rsid w:val="00ED492D"/>
    <w:rsid w:val="00ED4D8F"/>
    <w:rsid w:val="00EE69E6"/>
    <w:rsid w:val="00EF571A"/>
    <w:rsid w:val="00F071FF"/>
    <w:rsid w:val="00F17796"/>
    <w:rsid w:val="00F24EB9"/>
    <w:rsid w:val="00F25650"/>
    <w:rsid w:val="00F266A0"/>
    <w:rsid w:val="00F27D64"/>
    <w:rsid w:val="00F31135"/>
    <w:rsid w:val="00F37981"/>
    <w:rsid w:val="00F42300"/>
    <w:rsid w:val="00F445C0"/>
    <w:rsid w:val="00F467E5"/>
    <w:rsid w:val="00F61F18"/>
    <w:rsid w:val="00F62F9A"/>
    <w:rsid w:val="00F647F9"/>
    <w:rsid w:val="00F6571E"/>
    <w:rsid w:val="00F8637C"/>
    <w:rsid w:val="00F87C67"/>
    <w:rsid w:val="00F90367"/>
    <w:rsid w:val="00F91A01"/>
    <w:rsid w:val="00F93CE9"/>
    <w:rsid w:val="00F95F66"/>
    <w:rsid w:val="00F96474"/>
    <w:rsid w:val="00FA6225"/>
    <w:rsid w:val="00FA6947"/>
    <w:rsid w:val="00FB0EA6"/>
    <w:rsid w:val="00FB3FBA"/>
    <w:rsid w:val="00FB56E8"/>
    <w:rsid w:val="00FC77D1"/>
    <w:rsid w:val="00FD5758"/>
    <w:rsid w:val="00FD71BC"/>
    <w:rsid w:val="00FE0025"/>
    <w:rsid w:val="00FE6D44"/>
    <w:rsid w:val="00FF342C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19D"/>
    <w:pPr>
      <w:widowControl w:val="0"/>
      <w:tabs>
        <w:tab w:val="left" w:pos="1418"/>
      </w:tabs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aliases w:val="Main Title"/>
    <w:basedOn w:val="Normal"/>
    <w:next w:val="Normal"/>
    <w:qFormat/>
    <w:rsid w:val="002D31D4"/>
    <w:pPr>
      <w:keepNext/>
      <w:spacing w:after="60" w:line="240" w:lineRule="auto"/>
      <w:outlineLvl w:val="0"/>
    </w:pPr>
    <w:rPr>
      <w:rFonts w:cs="Arial"/>
      <w:b/>
      <w:bCs/>
      <w:caps/>
      <w:color w:val="000000"/>
      <w:kern w:val="32"/>
      <w:sz w:val="24"/>
      <w:szCs w:val="24"/>
    </w:rPr>
  </w:style>
  <w:style w:type="paragraph" w:styleId="Heading2">
    <w:name w:val="heading 2"/>
    <w:aliases w:val="Secondary Title"/>
    <w:basedOn w:val="Normal"/>
    <w:next w:val="Normal"/>
    <w:qFormat/>
    <w:rsid w:val="002D31D4"/>
    <w:pPr>
      <w:keepNext/>
      <w:keepLines/>
      <w:pBdr>
        <w:bottom w:val="single" w:sz="12" w:space="1" w:color="000000"/>
      </w:pBdr>
      <w:spacing w:before="120" w:after="60" w:line="240" w:lineRule="auto"/>
      <w:outlineLvl w:val="1"/>
    </w:pPr>
    <w:rPr>
      <w:rFonts w:cs="Arial"/>
      <w:b/>
      <w:bCs/>
      <w:iCs/>
      <w:caps/>
      <w:color w:val="000000"/>
    </w:rPr>
  </w:style>
  <w:style w:type="paragraph" w:styleId="Heading3">
    <w:name w:val="heading 3"/>
    <w:aliases w:val="Section Heading"/>
    <w:basedOn w:val="Normal"/>
    <w:next w:val="Normal"/>
    <w:qFormat/>
    <w:rsid w:val="0033719D"/>
    <w:pPr>
      <w:keepNext/>
      <w:keepLines/>
      <w:spacing w:before="480" w:after="120"/>
      <w:outlineLvl w:val="2"/>
    </w:pPr>
    <w:rPr>
      <w:rFonts w:cs="Arial"/>
      <w:b/>
      <w:bCs/>
      <w:caps/>
      <w:color w:val="000000"/>
    </w:rPr>
  </w:style>
  <w:style w:type="paragraph" w:styleId="Heading4">
    <w:name w:val="heading 4"/>
    <w:aliases w:val="Paragraph Heading"/>
    <w:basedOn w:val="Normal"/>
    <w:next w:val="Normal"/>
    <w:qFormat/>
    <w:rsid w:val="0033719D"/>
    <w:pPr>
      <w:keepNext/>
      <w:keepLines/>
      <w:spacing w:before="240" w:after="120"/>
      <w:outlineLvl w:val="3"/>
    </w:pPr>
    <w:rPr>
      <w:b/>
      <w:bCs/>
      <w:color w:val="000000"/>
    </w:rPr>
  </w:style>
  <w:style w:type="paragraph" w:styleId="Heading5">
    <w:name w:val="heading 5"/>
    <w:aliases w:val="Sub-paragraph Heading"/>
    <w:basedOn w:val="Normal"/>
    <w:next w:val="Normal"/>
    <w:qFormat/>
    <w:rsid w:val="0033719D"/>
    <w:pPr>
      <w:keepNext/>
      <w:keepLines/>
      <w:spacing w:before="240" w:after="120"/>
      <w:outlineLvl w:val="4"/>
    </w:pPr>
    <w:rPr>
      <w:b/>
      <w:i/>
      <w:color w:val="000000"/>
    </w:rPr>
  </w:style>
  <w:style w:type="paragraph" w:styleId="Heading6">
    <w:name w:val="heading 6"/>
    <w:aliases w:val="Sub-sub-heading"/>
    <w:basedOn w:val="Normal"/>
    <w:next w:val="Normal"/>
    <w:qFormat/>
    <w:rsid w:val="0033719D"/>
    <w:pPr>
      <w:keepNext/>
      <w:keepLines/>
      <w:spacing w:before="240" w:after="120"/>
      <w:ind w:left="567"/>
      <w:outlineLvl w:val="5"/>
    </w:pPr>
    <w:rPr>
      <w:b/>
      <w:i/>
      <w:color w:val="000000"/>
    </w:rPr>
  </w:style>
  <w:style w:type="paragraph" w:styleId="Heading7">
    <w:name w:val="heading 7"/>
    <w:basedOn w:val="Normal"/>
    <w:next w:val="Normal"/>
    <w:qFormat/>
    <w:rsid w:val="004B7C15"/>
    <w:pPr>
      <w:outlineLvl w:val="6"/>
    </w:pPr>
  </w:style>
  <w:style w:type="paragraph" w:styleId="Heading8">
    <w:name w:val="heading 8"/>
    <w:basedOn w:val="Normal"/>
    <w:next w:val="Normal"/>
    <w:qFormat/>
    <w:rsid w:val="004B7C15"/>
    <w:pPr>
      <w:outlineLvl w:val="7"/>
    </w:pPr>
  </w:style>
  <w:style w:type="paragraph" w:styleId="Heading9">
    <w:name w:val="heading 9"/>
    <w:basedOn w:val="Normal"/>
    <w:next w:val="Normal"/>
    <w:qFormat/>
    <w:rsid w:val="004B7C15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7C15"/>
    <w:pPr>
      <w:keepNext/>
      <w:keepLines/>
      <w:pBdr>
        <w:top w:val="single" w:sz="12" w:space="1" w:color="808080"/>
        <w:bottom w:val="single" w:sz="12" w:space="1" w:color="808080"/>
      </w:pBdr>
      <w:tabs>
        <w:tab w:val="right" w:pos="9639"/>
      </w:tabs>
      <w:spacing w:after="120" w:line="180" w:lineRule="atLeast"/>
    </w:pPr>
    <w:rPr>
      <w:b/>
      <w:color w:val="808080"/>
      <w:sz w:val="20"/>
    </w:rPr>
  </w:style>
  <w:style w:type="paragraph" w:customStyle="1" w:styleId="Number">
    <w:name w:val="Number"/>
    <w:basedOn w:val="ListBullet"/>
    <w:rsid w:val="008E16F5"/>
    <w:pPr>
      <w:spacing w:line="240" w:lineRule="auto"/>
    </w:pPr>
  </w:style>
  <w:style w:type="paragraph" w:styleId="ListBullet">
    <w:name w:val="List Bullet"/>
    <w:basedOn w:val="Normal"/>
    <w:autoRedefine/>
    <w:rsid w:val="006F786F"/>
    <w:pPr>
      <w:numPr>
        <w:numId w:val="5"/>
      </w:numPr>
      <w:spacing w:before="60" w:after="60"/>
    </w:pPr>
  </w:style>
  <w:style w:type="paragraph" w:styleId="Quote">
    <w:name w:val="Quote"/>
    <w:basedOn w:val="Normal"/>
    <w:qFormat/>
    <w:rsid w:val="004B7C15"/>
    <w:pPr>
      <w:spacing w:before="60" w:after="60"/>
      <w:ind w:left="1134" w:right="1134"/>
    </w:pPr>
    <w:rPr>
      <w:i/>
    </w:rPr>
  </w:style>
  <w:style w:type="paragraph" w:styleId="Footer">
    <w:name w:val="footer"/>
    <w:basedOn w:val="Normal"/>
    <w:rsid w:val="004B7C15"/>
    <w:pPr>
      <w:keepNext/>
      <w:keepLines/>
      <w:pBdr>
        <w:top w:val="single" w:sz="12" w:space="1" w:color="808080"/>
      </w:pBdr>
      <w:tabs>
        <w:tab w:val="right" w:pos="9185"/>
      </w:tabs>
      <w:spacing w:line="240" w:lineRule="auto"/>
    </w:pPr>
    <w:rPr>
      <w:b/>
      <w:i/>
      <w:color w:val="808080"/>
      <w:sz w:val="16"/>
    </w:rPr>
  </w:style>
  <w:style w:type="paragraph" w:customStyle="1" w:styleId="Textbox">
    <w:name w:val="Text box"/>
    <w:basedOn w:val="Normal"/>
    <w:rsid w:val="0033719D"/>
    <w:pPr>
      <w:keepNext/>
      <w:keepLines/>
      <w:shd w:val="clear" w:color="auto" w:fill="C0C0C0"/>
      <w:spacing w:before="240" w:after="60"/>
      <w:ind w:left="2835"/>
    </w:pPr>
    <w:rPr>
      <w:b/>
      <w:i/>
      <w:color w:val="000000"/>
    </w:rPr>
  </w:style>
  <w:style w:type="paragraph" w:customStyle="1" w:styleId="Table">
    <w:name w:val="Table"/>
    <w:basedOn w:val="Normal"/>
    <w:rsid w:val="0033719D"/>
    <w:pPr>
      <w:keepNext/>
      <w:keepLines/>
      <w:numPr>
        <w:numId w:val="3"/>
      </w:numPr>
      <w:spacing w:before="120" w:after="120" w:line="240" w:lineRule="auto"/>
    </w:pPr>
    <w:rPr>
      <w:b/>
      <w:color w:val="000000"/>
    </w:rPr>
  </w:style>
  <w:style w:type="paragraph" w:customStyle="1" w:styleId="Figure">
    <w:name w:val="Figure"/>
    <w:basedOn w:val="Normal"/>
    <w:rsid w:val="0033719D"/>
    <w:pPr>
      <w:keepNext/>
      <w:keepLines/>
      <w:numPr>
        <w:numId w:val="4"/>
      </w:numPr>
      <w:spacing w:before="120" w:after="480" w:line="240" w:lineRule="auto"/>
    </w:pPr>
    <w:rPr>
      <w:b/>
      <w:color w:val="000000"/>
    </w:rPr>
  </w:style>
  <w:style w:type="paragraph" w:customStyle="1" w:styleId="TableColTitleLeft">
    <w:name w:val="Table Col Title Left"/>
    <w:basedOn w:val="Normal"/>
    <w:rsid w:val="00F266A0"/>
    <w:pPr>
      <w:keepNext/>
      <w:keepLines/>
      <w:suppressLineNumbers/>
      <w:suppressAutoHyphens/>
      <w:spacing w:before="120" w:after="120" w:line="240" w:lineRule="auto"/>
    </w:pPr>
    <w:rPr>
      <w:b/>
      <w:color w:val="000000"/>
    </w:rPr>
  </w:style>
  <w:style w:type="paragraph" w:customStyle="1" w:styleId="TableColTitleCentre">
    <w:name w:val="Table Col Title Centre"/>
    <w:basedOn w:val="TableColTitleLeft"/>
    <w:rsid w:val="0033719D"/>
    <w:pPr>
      <w:jc w:val="center"/>
    </w:pPr>
  </w:style>
  <w:style w:type="paragraph" w:customStyle="1" w:styleId="TableDataLeft">
    <w:name w:val="Table Data Left"/>
    <w:basedOn w:val="Normal"/>
    <w:rsid w:val="002A323B"/>
    <w:pPr>
      <w:keepNext/>
      <w:keepLines/>
      <w:spacing w:before="60" w:after="60" w:line="240" w:lineRule="auto"/>
    </w:pPr>
    <w:rPr>
      <w:color w:val="000000"/>
    </w:rPr>
  </w:style>
  <w:style w:type="paragraph" w:customStyle="1" w:styleId="TableDateCentre">
    <w:name w:val="Table Date Centre"/>
    <w:basedOn w:val="Normal"/>
    <w:rsid w:val="002A323B"/>
    <w:pPr>
      <w:keepNext/>
      <w:keepLines/>
      <w:spacing w:before="60" w:after="60" w:line="240" w:lineRule="auto"/>
      <w:jc w:val="center"/>
    </w:pPr>
    <w:rPr>
      <w:color w:val="000000"/>
    </w:rPr>
  </w:style>
  <w:style w:type="paragraph" w:styleId="ListBullet2">
    <w:name w:val="List Bullet 2"/>
    <w:basedOn w:val="Normal"/>
    <w:autoRedefine/>
    <w:rsid w:val="004B7C15"/>
    <w:pPr>
      <w:numPr>
        <w:numId w:val="6"/>
      </w:numPr>
    </w:pPr>
  </w:style>
  <w:style w:type="paragraph" w:customStyle="1" w:styleId="Copyright">
    <w:name w:val="Copyright"/>
    <w:basedOn w:val="Normal"/>
    <w:rsid w:val="0033719D"/>
    <w:pPr>
      <w:keepNext/>
      <w:keepLines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pacing w:before="1440" w:line="240" w:lineRule="auto"/>
    </w:pPr>
    <w:rPr>
      <w:b/>
      <w:color w:val="808080"/>
      <w:sz w:val="18"/>
    </w:rPr>
  </w:style>
  <w:style w:type="paragraph" w:customStyle="1" w:styleId="offset">
    <w:name w:val="offset"/>
    <w:basedOn w:val="Quote"/>
    <w:rsid w:val="0033719D"/>
    <w:pPr>
      <w:ind w:left="2268" w:right="0"/>
    </w:pPr>
    <w:rPr>
      <w:b/>
      <w:color w:val="000000"/>
    </w:rPr>
  </w:style>
  <w:style w:type="paragraph" w:styleId="EndnoteText">
    <w:name w:val="endnote text"/>
    <w:basedOn w:val="Normal"/>
    <w:semiHidden/>
    <w:rsid w:val="004B7C15"/>
    <w:rPr>
      <w:sz w:val="20"/>
    </w:rPr>
  </w:style>
  <w:style w:type="paragraph" w:styleId="FootnoteText">
    <w:name w:val="footnote text"/>
    <w:basedOn w:val="Normal"/>
    <w:semiHidden/>
    <w:rsid w:val="004B7C15"/>
    <w:rPr>
      <w:sz w:val="20"/>
    </w:rPr>
  </w:style>
  <w:style w:type="paragraph" w:customStyle="1" w:styleId="Authors">
    <w:name w:val="Author(s)"/>
    <w:basedOn w:val="Normal"/>
    <w:rsid w:val="002D31D4"/>
    <w:pPr>
      <w:keepNext/>
      <w:keepLines/>
      <w:spacing w:before="240" w:after="120" w:line="240" w:lineRule="auto"/>
    </w:pPr>
    <w:rPr>
      <w:b/>
      <w:i/>
      <w:color w:val="808080"/>
      <w:sz w:val="24"/>
      <w:szCs w:val="24"/>
    </w:rPr>
  </w:style>
  <w:style w:type="paragraph" w:customStyle="1" w:styleId="AuthorsDetials">
    <w:name w:val="Author(s) Detials"/>
    <w:basedOn w:val="Normal"/>
    <w:rsid w:val="002D31D4"/>
    <w:pPr>
      <w:keepNext/>
      <w:keepLines/>
      <w:spacing w:before="60" w:after="120" w:line="240" w:lineRule="auto"/>
    </w:pPr>
    <w:rPr>
      <w:color w:val="808080"/>
    </w:rPr>
  </w:style>
  <w:style w:type="paragraph" w:customStyle="1" w:styleId="Infobox">
    <w:name w:val="Info box"/>
    <w:basedOn w:val="Normal"/>
    <w:rsid w:val="004B7C15"/>
    <w:pPr>
      <w:keepNext/>
      <w:keepLines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hd w:val="clear" w:color="auto" w:fill="C0C0C0"/>
      <w:tabs>
        <w:tab w:val="left" w:pos="2835"/>
      </w:tabs>
      <w:spacing w:line="240" w:lineRule="auto"/>
      <w:ind w:left="1418" w:right="1418"/>
    </w:pPr>
    <w:rPr>
      <w:b/>
      <w:color w:val="800000"/>
      <w:sz w:val="18"/>
    </w:rPr>
  </w:style>
  <w:style w:type="paragraph" w:styleId="DocumentMap">
    <w:name w:val="Document Map"/>
    <w:basedOn w:val="Normal"/>
    <w:semiHidden/>
    <w:rsid w:val="004B7C15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semiHidden/>
    <w:rsid w:val="004B7C15"/>
    <w:rPr>
      <w:vertAlign w:val="superscript"/>
    </w:rPr>
  </w:style>
  <w:style w:type="paragraph" w:styleId="NormalWeb">
    <w:name w:val="Normal (Web)"/>
    <w:basedOn w:val="Normal"/>
    <w:rsid w:val="004B7C1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4B7C15"/>
    <w:pPr>
      <w:ind w:left="567"/>
    </w:pPr>
  </w:style>
  <w:style w:type="paragraph" w:styleId="BodyText">
    <w:name w:val="Body Text"/>
    <w:basedOn w:val="Normal"/>
    <w:rsid w:val="004B7C15"/>
    <w:pPr>
      <w:spacing w:after="120"/>
    </w:pPr>
  </w:style>
  <w:style w:type="paragraph" w:styleId="Caption">
    <w:name w:val="caption"/>
    <w:basedOn w:val="Normal"/>
    <w:next w:val="Normal"/>
    <w:qFormat/>
    <w:rsid w:val="004B7C15"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semiHidden/>
    <w:rsid w:val="004B7C15"/>
    <w:rPr>
      <w:sz w:val="20"/>
    </w:rPr>
  </w:style>
  <w:style w:type="paragraph" w:styleId="Index1">
    <w:name w:val="index 1"/>
    <w:basedOn w:val="Normal"/>
    <w:next w:val="Normal"/>
    <w:autoRedefine/>
    <w:semiHidden/>
    <w:rsid w:val="004B7C15"/>
    <w:pPr>
      <w:tabs>
        <w:tab w:val="clear" w:pos="1418"/>
      </w:tabs>
      <w:ind w:left="220" w:hanging="220"/>
    </w:pPr>
  </w:style>
  <w:style w:type="paragraph" w:styleId="Index2">
    <w:name w:val="index 2"/>
    <w:basedOn w:val="Normal"/>
    <w:next w:val="Normal"/>
    <w:autoRedefine/>
    <w:semiHidden/>
    <w:rsid w:val="004B7C15"/>
    <w:pPr>
      <w:tabs>
        <w:tab w:val="clear" w:pos="1418"/>
      </w:tabs>
      <w:ind w:left="440" w:hanging="220"/>
    </w:pPr>
  </w:style>
  <w:style w:type="paragraph" w:styleId="Index3">
    <w:name w:val="index 3"/>
    <w:basedOn w:val="Normal"/>
    <w:next w:val="Normal"/>
    <w:autoRedefine/>
    <w:semiHidden/>
    <w:rsid w:val="004B7C15"/>
    <w:pPr>
      <w:tabs>
        <w:tab w:val="clear" w:pos="1418"/>
      </w:tabs>
      <w:ind w:left="660" w:hanging="220"/>
    </w:pPr>
  </w:style>
  <w:style w:type="paragraph" w:styleId="Index4">
    <w:name w:val="index 4"/>
    <w:basedOn w:val="Normal"/>
    <w:next w:val="Normal"/>
    <w:autoRedefine/>
    <w:semiHidden/>
    <w:rsid w:val="004B7C15"/>
    <w:pPr>
      <w:tabs>
        <w:tab w:val="clear" w:pos="1418"/>
      </w:tabs>
      <w:ind w:left="880" w:hanging="220"/>
    </w:pPr>
  </w:style>
  <w:style w:type="paragraph" w:styleId="Index5">
    <w:name w:val="index 5"/>
    <w:basedOn w:val="Normal"/>
    <w:next w:val="Normal"/>
    <w:autoRedefine/>
    <w:semiHidden/>
    <w:rsid w:val="004B7C15"/>
    <w:pPr>
      <w:tabs>
        <w:tab w:val="clear" w:pos="1418"/>
      </w:tabs>
      <w:ind w:left="1100" w:hanging="220"/>
    </w:pPr>
  </w:style>
  <w:style w:type="paragraph" w:styleId="Index6">
    <w:name w:val="index 6"/>
    <w:basedOn w:val="Normal"/>
    <w:next w:val="Normal"/>
    <w:autoRedefine/>
    <w:semiHidden/>
    <w:rsid w:val="004B7C15"/>
    <w:pPr>
      <w:tabs>
        <w:tab w:val="clear" w:pos="1418"/>
      </w:tabs>
      <w:ind w:left="1320" w:hanging="220"/>
    </w:pPr>
  </w:style>
  <w:style w:type="paragraph" w:styleId="Index7">
    <w:name w:val="index 7"/>
    <w:basedOn w:val="Normal"/>
    <w:next w:val="Normal"/>
    <w:autoRedefine/>
    <w:semiHidden/>
    <w:rsid w:val="004B7C15"/>
    <w:pPr>
      <w:tabs>
        <w:tab w:val="clear" w:pos="1418"/>
      </w:tabs>
      <w:ind w:left="1540" w:hanging="220"/>
    </w:pPr>
  </w:style>
  <w:style w:type="paragraph" w:styleId="Index8">
    <w:name w:val="index 8"/>
    <w:basedOn w:val="Normal"/>
    <w:next w:val="Normal"/>
    <w:autoRedefine/>
    <w:semiHidden/>
    <w:rsid w:val="004B7C15"/>
    <w:pPr>
      <w:tabs>
        <w:tab w:val="clear" w:pos="1418"/>
      </w:tabs>
      <w:ind w:left="1760" w:hanging="220"/>
    </w:pPr>
  </w:style>
  <w:style w:type="paragraph" w:styleId="Index9">
    <w:name w:val="index 9"/>
    <w:basedOn w:val="Normal"/>
    <w:next w:val="Normal"/>
    <w:autoRedefine/>
    <w:semiHidden/>
    <w:rsid w:val="004B7C15"/>
    <w:pPr>
      <w:tabs>
        <w:tab w:val="clear" w:pos="1418"/>
      </w:tabs>
      <w:ind w:left="1980" w:hanging="220"/>
    </w:pPr>
  </w:style>
  <w:style w:type="paragraph" w:styleId="IndexHeading">
    <w:name w:val="index heading"/>
    <w:basedOn w:val="Normal"/>
    <w:next w:val="Index1"/>
    <w:semiHidden/>
    <w:rsid w:val="004B7C15"/>
    <w:rPr>
      <w:rFonts w:cs="Arial"/>
      <w:b/>
      <w:bCs/>
    </w:rPr>
  </w:style>
  <w:style w:type="paragraph" w:styleId="ListBullet3">
    <w:name w:val="List Bullet 3"/>
    <w:basedOn w:val="Normal"/>
    <w:autoRedefine/>
    <w:rsid w:val="004B7C15"/>
    <w:pPr>
      <w:numPr>
        <w:numId w:val="7"/>
      </w:numPr>
    </w:pPr>
  </w:style>
  <w:style w:type="paragraph" w:styleId="MacroText">
    <w:name w:val="macro"/>
    <w:semiHidden/>
    <w:rsid w:val="004B7C1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4B7C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B7C15"/>
    <w:pPr>
      <w:tabs>
        <w:tab w:val="clear" w:pos="1418"/>
      </w:tabs>
      <w:ind w:left="220" w:hanging="220"/>
    </w:pPr>
  </w:style>
  <w:style w:type="paragraph" w:styleId="TableofFigures">
    <w:name w:val="table of figures"/>
    <w:basedOn w:val="Normal"/>
    <w:next w:val="Normal"/>
    <w:semiHidden/>
    <w:rsid w:val="004B7C15"/>
    <w:pPr>
      <w:tabs>
        <w:tab w:val="clear" w:pos="1418"/>
      </w:tabs>
      <w:ind w:left="440" w:hanging="440"/>
    </w:pPr>
  </w:style>
  <w:style w:type="paragraph" w:styleId="TOAHeading">
    <w:name w:val="toa heading"/>
    <w:basedOn w:val="Normal"/>
    <w:next w:val="Normal"/>
    <w:semiHidden/>
    <w:rsid w:val="004B7C15"/>
    <w:pPr>
      <w:spacing w:before="120"/>
    </w:pPr>
    <w:rPr>
      <w:rFonts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4B7C15"/>
    <w:pPr>
      <w:tabs>
        <w:tab w:val="clear" w:pos="1418"/>
      </w:tabs>
    </w:pPr>
  </w:style>
  <w:style w:type="paragraph" w:styleId="TOC2">
    <w:name w:val="toc 2"/>
    <w:basedOn w:val="Normal"/>
    <w:next w:val="Normal"/>
    <w:autoRedefine/>
    <w:semiHidden/>
    <w:rsid w:val="004B7C15"/>
    <w:pPr>
      <w:tabs>
        <w:tab w:val="clear" w:pos="1418"/>
      </w:tabs>
      <w:ind w:left="220"/>
    </w:pPr>
  </w:style>
  <w:style w:type="paragraph" w:styleId="TOC3">
    <w:name w:val="toc 3"/>
    <w:basedOn w:val="Normal"/>
    <w:next w:val="Normal"/>
    <w:autoRedefine/>
    <w:semiHidden/>
    <w:rsid w:val="004B7C15"/>
    <w:pPr>
      <w:tabs>
        <w:tab w:val="clear" w:pos="1418"/>
      </w:tabs>
      <w:ind w:left="440"/>
    </w:pPr>
  </w:style>
  <w:style w:type="paragraph" w:styleId="TOC4">
    <w:name w:val="toc 4"/>
    <w:basedOn w:val="Normal"/>
    <w:next w:val="Normal"/>
    <w:autoRedefine/>
    <w:semiHidden/>
    <w:rsid w:val="004B7C15"/>
    <w:pPr>
      <w:tabs>
        <w:tab w:val="clear" w:pos="1418"/>
      </w:tabs>
      <w:ind w:left="660"/>
    </w:pPr>
  </w:style>
  <w:style w:type="paragraph" w:styleId="TOC5">
    <w:name w:val="toc 5"/>
    <w:basedOn w:val="Normal"/>
    <w:next w:val="Normal"/>
    <w:autoRedefine/>
    <w:semiHidden/>
    <w:rsid w:val="004B7C15"/>
    <w:pPr>
      <w:tabs>
        <w:tab w:val="clear" w:pos="1418"/>
      </w:tabs>
      <w:ind w:left="880"/>
    </w:pPr>
  </w:style>
  <w:style w:type="paragraph" w:styleId="TOC6">
    <w:name w:val="toc 6"/>
    <w:basedOn w:val="Normal"/>
    <w:next w:val="Normal"/>
    <w:autoRedefine/>
    <w:semiHidden/>
    <w:rsid w:val="004B7C15"/>
    <w:pPr>
      <w:tabs>
        <w:tab w:val="clear" w:pos="1418"/>
      </w:tabs>
      <w:ind w:left="1100"/>
    </w:pPr>
  </w:style>
  <w:style w:type="paragraph" w:styleId="TOC7">
    <w:name w:val="toc 7"/>
    <w:basedOn w:val="Normal"/>
    <w:next w:val="Normal"/>
    <w:autoRedefine/>
    <w:semiHidden/>
    <w:rsid w:val="004B7C15"/>
    <w:pPr>
      <w:tabs>
        <w:tab w:val="clear" w:pos="1418"/>
      </w:tabs>
      <w:ind w:left="1320"/>
    </w:pPr>
  </w:style>
  <w:style w:type="paragraph" w:styleId="TOC8">
    <w:name w:val="toc 8"/>
    <w:basedOn w:val="Normal"/>
    <w:next w:val="Normal"/>
    <w:autoRedefine/>
    <w:semiHidden/>
    <w:rsid w:val="004B7C15"/>
    <w:pPr>
      <w:tabs>
        <w:tab w:val="clear" w:pos="1418"/>
      </w:tabs>
      <w:ind w:left="1540"/>
    </w:pPr>
  </w:style>
  <w:style w:type="paragraph" w:styleId="TOC9">
    <w:name w:val="toc 9"/>
    <w:basedOn w:val="Normal"/>
    <w:next w:val="Normal"/>
    <w:autoRedefine/>
    <w:semiHidden/>
    <w:rsid w:val="004B7C15"/>
    <w:pPr>
      <w:tabs>
        <w:tab w:val="clear" w:pos="1418"/>
      </w:tabs>
      <w:ind w:left="1760"/>
    </w:pPr>
  </w:style>
  <w:style w:type="paragraph" w:styleId="BalloonText">
    <w:name w:val="Balloon Text"/>
    <w:basedOn w:val="Normal"/>
    <w:semiHidden/>
    <w:rsid w:val="006736E0"/>
    <w:rPr>
      <w:rFonts w:ascii="Tahoma" w:hAnsi="Tahoma" w:cs="Tahoma"/>
      <w:sz w:val="16"/>
      <w:szCs w:val="16"/>
    </w:rPr>
  </w:style>
  <w:style w:type="character" w:styleId="Hyperlink">
    <w:name w:val="Hyperlink"/>
    <w:rsid w:val="007E78F7"/>
    <w:rPr>
      <w:color w:val="003300"/>
      <w:u w:val="single"/>
    </w:rPr>
  </w:style>
  <w:style w:type="paragraph" w:customStyle="1" w:styleId="Documenttitle">
    <w:name w:val="Document title"/>
    <w:basedOn w:val="Heading1"/>
    <w:rsid w:val="002D31D4"/>
    <w:pPr>
      <w:spacing w:before="240"/>
    </w:pPr>
  </w:style>
  <w:style w:type="table" w:styleId="TableGrid">
    <w:name w:val="Table Grid"/>
    <w:basedOn w:val="TableNormal"/>
    <w:rsid w:val="002D31D4"/>
    <w:pPr>
      <w:widowControl w:val="0"/>
      <w:tabs>
        <w:tab w:val="left" w:pos="1418"/>
      </w:tabs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s">
    <w:name w:val="sas"/>
    <w:basedOn w:val="Heading2"/>
    <w:rsid w:val="00B10BCD"/>
    <w:pPr>
      <w:pBdr>
        <w:bottom w:val="none" w:sz="0" w:space="0" w:color="auto"/>
      </w:pBdr>
      <w:spacing w:before="60"/>
    </w:pPr>
  </w:style>
  <w:style w:type="paragraph" w:customStyle="1" w:styleId="rps">
    <w:name w:val="rps"/>
    <w:basedOn w:val="Heading1"/>
    <w:rsid w:val="00B10BCD"/>
    <w:pPr>
      <w:spacing w:after="0"/>
    </w:pPr>
    <w:rPr>
      <w:sz w:val="36"/>
    </w:rPr>
  </w:style>
  <w:style w:type="character" w:styleId="Emphasis">
    <w:name w:val="Emphasis"/>
    <w:qFormat/>
    <w:rsid w:val="00C956A7"/>
    <w:rPr>
      <w:i/>
      <w:iCs/>
    </w:rPr>
  </w:style>
  <w:style w:type="character" w:styleId="EndnoteReference">
    <w:name w:val="endnote reference"/>
    <w:rsid w:val="00592A4B"/>
    <w:rPr>
      <w:vertAlign w:val="superscript"/>
    </w:rPr>
  </w:style>
  <w:style w:type="character" w:customStyle="1" w:styleId="HeaderChar">
    <w:name w:val="Header Char"/>
    <w:link w:val="Header"/>
    <w:uiPriority w:val="99"/>
    <w:rsid w:val="006E1C02"/>
    <w:rPr>
      <w:rFonts w:ascii="Arial" w:hAnsi="Arial"/>
      <w:b/>
      <w:color w:val="808080"/>
      <w:szCs w:val="22"/>
      <w:lang w:eastAsia="en-US"/>
    </w:rPr>
  </w:style>
  <w:style w:type="paragraph" w:customStyle="1" w:styleId="Default">
    <w:name w:val="Default"/>
    <w:rsid w:val="00DE2F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eneral-Services\SAS\Radiation\Templates\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4052-E6B0-46AA-A5E3-234B56AA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2006.dot</Template>
  <TotalTime>121</TotalTime>
  <Pages>8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Leeds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 I K Haslam</dc:creator>
  <cp:keywords/>
  <dc:description/>
  <cp:lastModifiedBy>rpsac</cp:lastModifiedBy>
  <cp:revision>9</cp:revision>
  <cp:lastPrinted>2010-01-15T16:06:00Z</cp:lastPrinted>
  <dcterms:created xsi:type="dcterms:W3CDTF">2018-02-23T15:29:00Z</dcterms:created>
  <dcterms:modified xsi:type="dcterms:W3CDTF">2018-03-01T12:42:00Z</dcterms:modified>
</cp:coreProperties>
</file>